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6367C" w14:textId="77777777" w:rsidR="006F2B11" w:rsidRDefault="006F2B11" w:rsidP="006F2B11">
      <w:pPr>
        <w:spacing w:line="278" w:lineRule="auto"/>
        <w:jc w:val="center"/>
        <w:rPr>
          <w:rFonts w:ascii="Century Gothic" w:hAnsi="Century Gothic"/>
          <w:b/>
          <w:bCs/>
          <w:color w:val="852057"/>
          <w:sz w:val="24"/>
          <w:szCs w:val="24"/>
        </w:rPr>
      </w:pPr>
      <w:bookmarkStart w:id="0" w:name="_Toc241417120"/>
    </w:p>
    <w:p w14:paraId="3F9E87F8" w14:textId="7BCFE8E3" w:rsidR="00FC0A84" w:rsidRPr="006F2B11" w:rsidRDefault="006F2B11" w:rsidP="006F2B11">
      <w:pPr>
        <w:spacing w:line="278" w:lineRule="auto"/>
        <w:jc w:val="center"/>
        <w:rPr>
          <w:rFonts w:ascii="Century Gothic" w:hAnsi="Century Gothic"/>
          <w:b/>
          <w:bCs/>
          <w:color w:val="852057"/>
          <w:sz w:val="24"/>
          <w:szCs w:val="24"/>
        </w:rPr>
      </w:pPr>
      <w:r w:rsidRPr="006F2B11">
        <w:rPr>
          <w:rFonts w:ascii="Century Gothic" w:hAnsi="Century Gothic"/>
          <w:b/>
          <w:bCs/>
          <w:color w:val="852057"/>
          <w:sz w:val="24"/>
          <w:szCs w:val="24"/>
        </w:rPr>
        <w:t xml:space="preserve">This is NOT a downloadable worksheet. </w:t>
      </w:r>
      <w:r w:rsidRPr="006F2B11">
        <w:rPr>
          <w:rFonts w:ascii="Century Gothic" w:hAnsi="Century Gothic"/>
          <w:b/>
          <w:bCs/>
          <w:color w:val="852057"/>
          <w:sz w:val="24"/>
          <w:szCs w:val="24"/>
        </w:rPr>
        <w:br/>
      </w:r>
      <w:r w:rsidRPr="006F2B11">
        <w:rPr>
          <w:rFonts w:ascii="Century Gothic" w:hAnsi="Century Gothic"/>
          <w:b/>
          <w:bCs/>
          <w:color w:val="852057"/>
          <w:sz w:val="24"/>
          <w:szCs w:val="24"/>
        </w:rPr>
        <w:br/>
        <w:t>Instead, the Landing Page should bring users here:</w:t>
      </w:r>
    </w:p>
    <w:p w14:paraId="2C0D5313" w14:textId="63EA9C1F" w:rsidR="00FC0A84" w:rsidRPr="006F2B11" w:rsidRDefault="00943FDB" w:rsidP="00FC0A84">
      <w:pPr>
        <w:jc w:val="center"/>
        <w:rPr>
          <w:rStyle w:val="IntenseReference"/>
          <w:rFonts w:ascii="Century Gothic" w:hAnsi="Century Gothic"/>
          <w:sz w:val="32"/>
          <w:szCs w:val="32"/>
        </w:rPr>
      </w:pPr>
      <w:hyperlink r:id="rId6" w:history="1">
        <w:r w:rsidRPr="006F2B11">
          <w:rPr>
            <w:rStyle w:val="Hyperlink"/>
            <w:rFonts w:ascii="Century Gothic" w:hAnsi="Century Gothic"/>
            <w:spacing w:val="5"/>
            <w:sz w:val="32"/>
            <w:szCs w:val="32"/>
          </w:rPr>
          <w:t>https://www.logically.com/managed-resilience-toolkit</w:t>
        </w:r>
      </w:hyperlink>
    </w:p>
    <w:p w14:paraId="1638DB18" w14:textId="77777777" w:rsidR="00FC0A84" w:rsidRPr="006E3839" w:rsidRDefault="00FC0A84" w:rsidP="00FC0A84">
      <w:pPr>
        <w:rPr>
          <w:rStyle w:val="IntenseReference"/>
          <w:rFonts w:ascii="Century Gothic" w:hAnsi="Century Gothic"/>
        </w:rPr>
      </w:pPr>
      <w:r w:rsidRPr="006E3839">
        <w:rPr>
          <w:rFonts w:ascii="Century Gothic" w:hAnsi="Century Gothic"/>
          <w:noProof/>
        </w:rPr>
        <w:drawing>
          <wp:anchor distT="0" distB="0" distL="114300" distR="114300" simplePos="0" relativeHeight="251663360" behindDoc="0" locked="0" layoutInCell="1" allowOverlap="1" wp14:anchorId="4A5D8FF6" wp14:editId="0268A976">
            <wp:simplePos x="0" y="0"/>
            <wp:positionH relativeFrom="column">
              <wp:posOffset>2843644</wp:posOffset>
            </wp:positionH>
            <wp:positionV relativeFrom="paragraph">
              <wp:posOffset>3175</wp:posOffset>
            </wp:positionV>
            <wp:extent cx="1122468" cy="1112075"/>
            <wp:effectExtent l="0" t="0" r="1905" b="0"/>
            <wp:wrapNone/>
            <wp:docPr id="15300001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66162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468" cy="111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39DD5F" w14:textId="77777777" w:rsidR="00FC0A84" w:rsidRPr="006E3839" w:rsidRDefault="00FC0A84" w:rsidP="00FC0A84">
      <w:pPr>
        <w:rPr>
          <w:rStyle w:val="IntenseReference"/>
          <w:rFonts w:ascii="Century Gothic" w:hAnsi="Century Gothic"/>
        </w:rPr>
      </w:pPr>
    </w:p>
    <w:p w14:paraId="2CEE3B16" w14:textId="77777777" w:rsidR="00FC0A84" w:rsidRPr="006E3839" w:rsidRDefault="00FC0A84" w:rsidP="00FC0A84">
      <w:pPr>
        <w:rPr>
          <w:rStyle w:val="IntenseReference"/>
          <w:rFonts w:ascii="Century Gothic" w:hAnsi="Century Gothic"/>
        </w:rPr>
      </w:pPr>
    </w:p>
    <w:p w14:paraId="21A758FB" w14:textId="77777777" w:rsidR="00FC0A84" w:rsidRDefault="00FC0A84" w:rsidP="00FC0A84">
      <w:pPr>
        <w:spacing w:line="278" w:lineRule="auto"/>
        <w:rPr>
          <w:rFonts w:ascii="Century Gothic" w:hAnsi="Century Gothic"/>
          <w:color w:val="852057"/>
        </w:rPr>
      </w:pPr>
    </w:p>
    <w:p w14:paraId="37762E95" w14:textId="77777777" w:rsidR="00FC0A84" w:rsidRDefault="00FC0A84" w:rsidP="00FC0A84">
      <w:pPr>
        <w:spacing w:line="278" w:lineRule="auto"/>
        <w:rPr>
          <w:rFonts w:ascii="Century Gothic" w:hAnsi="Century Gothic"/>
          <w:color w:val="852057"/>
        </w:rPr>
      </w:pPr>
    </w:p>
    <w:p w14:paraId="314ED995" w14:textId="77777777" w:rsidR="006F2B11" w:rsidRDefault="006F2B11" w:rsidP="00FC0A84">
      <w:pPr>
        <w:spacing w:line="278" w:lineRule="auto"/>
        <w:rPr>
          <w:rFonts w:ascii="Century Gothic" w:hAnsi="Century Gothic"/>
          <w:color w:val="852057"/>
        </w:rPr>
      </w:pPr>
    </w:p>
    <w:p w14:paraId="0146927B" w14:textId="77777777" w:rsidR="006F2B11" w:rsidRDefault="006F2B11" w:rsidP="00FC0A84">
      <w:pPr>
        <w:spacing w:line="278" w:lineRule="auto"/>
        <w:rPr>
          <w:rFonts w:ascii="Century Gothic" w:hAnsi="Century Gothic"/>
          <w:color w:val="852057"/>
        </w:rPr>
      </w:pPr>
    </w:p>
    <w:p w14:paraId="1BAF7D6F" w14:textId="77777777" w:rsidR="006F2B11" w:rsidRDefault="006F2B11" w:rsidP="00FC0A84">
      <w:pPr>
        <w:spacing w:line="278" w:lineRule="auto"/>
        <w:rPr>
          <w:rFonts w:ascii="Century Gothic" w:hAnsi="Century Gothic"/>
          <w:color w:val="852057"/>
        </w:rPr>
      </w:pPr>
    </w:p>
    <w:p w14:paraId="604E0B84" w14:textId="77777777" w:rsidR="006F2B11" w:rsidRDefault="006F2B11" w:rsidP="00FC0A84">
      <w:pPr>
        <w:spacing w:line="278" w:lineRule="auto"/>
        <w:rPr>
          <w:rFonts w:ascii="Century Gothic" w:hAnsi="Century Gothic"/>
          <w:color w:val="852057"/>
        </w:rPr>
      </w:pPr>
    </w:p>
    <w:p w14:paraId="4059A603" w14:textId="77777777" w:rsidR="006F2B11" w:rsidRDefault="006F2B11" w:rsidP="00FC0A84">
      <w:pPr>
        <w:spacing w:line="278" w:lineRule="auto"/>
        <w:rPr>
          <w:rFonts w:ascii="Century Gothic" w:hAnsi="Century Gothic"/>
          <w:color w:val="852057"/>
        </w:rPr>
      </w:pPr>
    </w:p>
    <w:p w14:paraId="4E8C4990" w14:textId="2D1CAE5B" w:rsidR="00FC0A84" w:rsidRDefault="00FC0A84" w:rsidP="006F2B11">
      <w:pPr>
        <w:spacing w:line="278" w:lineRule="auto"/>
        <w:jc w:val="center"/>
        <w:rPr>
          <w:rFonts w:ascii="Century Gothic" w:hAnsi="Century Gothic"/>
          <w:color w:val="852057"/>
        </w:rPr>
      </w:pPr>
      <w:r>
        <w:rPr>
          <w:rFonts w:ascii="Century Gothic" w:hAnsi="Century Gothic"/>
          <w:color w:val="852057"/>
        </w:rPr>
        <w:t>Copy provided for landing page reference only.</w:t>
      </w:r>
      <w:r w:rsidR="00943FDB">
        <w:rPr>
          <w:rFonts w:ascii="Century Gothic" w:hAnsi="Century Gothic"/>
          <w:color w:val="852057"/>
        </w:rPr>
        <w:t xml:space="preserve"> No worksheet </w:t>
      </w:r>
      <w:proofErr w:type="gramStart"/>
      <w:r w:rsidR="00943FDB">
        <w:rPr>
          <w:rFonts w:ascii="Century Gothic" w:hAnsi="Century Gothic"/>
          <w:color w:val="852057"/>
        </w:rPr>
        <w:t>download</w:t>
      </w:r>
      <w:proofErr w:type="gramEnd"/>
      <w:r w:rsidR="00943FDB">
        <w:rPr>
          <w:rFonts w:ascii="Century Gothic" w:hAnsi="Century Gothic"/>
          <w:color w:val="852057"/>
        </w:rPr>
        <w:t>, just link to above site.</w:t>
      </w:r>
    </w:p>
    <w:p w14:paraId="1DC2E614" w14:textId="77777777" w:rsidR="00FC0A84" w:rsidRDefault="00FC0A84">
      <w:pPr>
        <w:spacing w:line="278" w:lineRule="auto"/>
        <w:rPr>
          <w:rFonts w:ascii="Century Gothic" w:hAnsi="Century Gothic"/>
          <w:color w:val="852057"/>
        </w:rPr>
      </w:pPr>
      <w:r>
        <w:rPr>
          <w:rFonts w:ascii="Century Gothic" w:hAnsi="Century Gothic"/>
          <w:color w:val="852057"/>
        </w:rPr>
        <w:br w:type="page"/>
      </w:r>
    </w:p>
    <w:p w14:paraId="5C5860FA" w14:textId="3FD30711" w:rsidR="006E3839" w:rsidRPr="00FC0A84" w:rsidRDefault="006E3839" w:rsidP="00FC0A84">
      <w:pPr>
        <w:spacing w:line="278" w:lineRule="auto"/>
        <w:rPr>
          <w:rFonts w:ascii="Century Gothic" w:eastAsiaTheme="majorEastAsia" w:hAnsi="Century Gothic" w:cstheme="majorBidi"/>
          <w:color w:val="852057"/>
          <w:sz w:val="32"/>
          <w:szCs w:val="32"/>
        </w:rPr>
      </w:pPr>
      <w:r w:rsidRPr="006E3839">
        <w:rPr>
          <w:rFonts w:ascii="Century Gothic" w:hAnsi="Century Gothic"/>
          <w:color w:val="852057"/>
        </w:rPr>
        <w:lastRenderedPageBreak/>
        <w:t>Managed Resilience Toolkit</w:t>
      </w:r>
      <w:bookmarkEnd w:id="0"/>
    </w:p>
    <w:p w14:paraId="458D4D95" w14:textId="77777777" w:rsidR="006E3839" w:rsidRPr="006E3839" w:rsidRDefault="006E3839" w:rsidP="006E3839">
      <w:pPr>
        <w:rPr>
          <w:rFonts w:ascii="Century Gothic" w:hAnsi="Century Gothic"/>
        </w:rPr>
      </w:pPr>
      <w:r w:rsidRPr="006E3839">
        <w:rPr>
          <w:rFonts w:ascii="Century Gothic" w:hAnsi="Century Gothic"/>
        </w:rPr>
        <w:t>A practical decision framework for strengthening cyber visibility, identity resilience, response readiness, and shared accountability</w:t>
      </w:r>
      <w:r w:rsidRPr="006E3839">
        <w:rPr>
          <w:rFonts w:ascii="Century Gothic" w:hAnsi="Century Gothic"/>
        </w:rPr>
        <w:tab/>
      </w:r>
      <w:r w:rsidRPr="006E3839">
        <w:rPr>
          <w:rFonts w:ascii="Century Gothic" w:hAnsi="Century Gothic"/>
        </w:rPr>
        <w:tab/>
      </w:r>
      <w:r w:rsidRPr="006E3839">
        <w:rPr>
          <w:rFonts w:ascii="Century Gothic" w:hAnsi="Century Gothic"/>
        </w:rPr>
        <w:tab/>
      </w:r>
      <w:r w:rsidRPr="006E3839">
        <w:rPr>
          <w:rFonts w:ascii="Century Gothic" w:hAnsi="Century Gothic"/>
        </w:rPr>
        <w:tab/>
      </w:r>
      <w:r w:rsidRPr="006E3839">
        <w:rPr>
          <w:rFonts w:ascii="Century Gothic" w:hAnsi="Century Gothic"/>
        </w:rPr>
        <w:tab/>
      </w:r>
      <w:r w:rsidRPr="006E3839">
        <w:rPr>
          <w:rFonts w:ascii="Century Gothic" w:hAnsi="Century Gothic"/>
        </w:rPr>
        <w:tab/>
      </w:r>
    </w:p>
    <w:p w14:paraId="58E62325" w14:textId="77777777" w:rsidR="006E3839" w:rsidRPr="006E3839" w:rsidRDefault="006E3839" w:rsidP="006E3839">
      <w:pPr>
        <w:rPr>
          <w:rFonts w:ascii="Century Gothic" w:hAnsi="Century Gothic"/>
        </w:rPr>
      </w:pPr>
      <w:r w:rsidRPr="006E3839">
        <w:rPr>
          <w:rFonts w:ascii="Century Gothic" w:hAnsi="Century Gothic"/>
        </w:rPr>
        <w:t>Designed for IT and cyber leaders in mid-sized organizations, this toolkit turns broad security assurances into an evidence-based management process. It helps leadership assess current readiness, test a realistic attack path, clarify ownership across internal teams and security partners, and define operational benchmarks that can be tracked over time.</w:t>
      </w:r>
    </w:p>
    <w:tbl>
      <w:tblPr>
        <w:tblStyle w:val="ListTable3-Accent1"/>
        <w:tblW w:w="10658" w:type="dxa"/>
        <w:jc w:val="center"/>
        <w:tblBorders>
          <w:top w:val="single" w:sz="4" w:space="0" w:color="ECAED0"/>
          <w:left w:val="single" w:sz="4" w:space="0" w:color="ECAED0"/>
          <w:bottom w:val="single" w:sz="4" w:space="0" w:color="ECAED0"/>
          <w:right w:val="single" w:sz="4" w:space="0" w:color="ECAED0"/>
          <w:insideH w:val="single" w:sz="4" w:space="0" w:color="ECAED0"/>
        </w:tblBorders>
        <w:tblLook w:val="04A0" w:firstRow="1" w:lastRow="0" w:firstColumn="1" w:lastColumn="0" w:noHBand="0" w:noVBand="1"/>
      </w:tblPr>
      <w:tblGrid>
        <w:gridCol w:w="3524"/>
        <w:gridCol w:w="3604"/>
        <w:gridCol w:w="3530"/>
      </w:tblGrid>
      <w:tr w:rsidR="006E3839" w:rsidRPr="006E3839" w14:paraId="16DCFF5A" w14:textId="77777777" w:rsidTr="006E38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24" w:type="dxa"/>
            <w:tcBorders>
              <w:bottom w:val="none" w:sz="0" w:space="0" w:color="auto"/>
              <w:right w:val="none" w:sz="0" w:space="0" w:color="auto"/>
            </w:tcBorders>
            <w:shd w:val="clear" w:color="auto" w:fill="852057"/>
            <w:noWrap/>
            <w:hideMark/>
          </w:tcPr>
          <w:p w14:paraId="0FDF305D" w14:textId="77777777" w:rsidR="006E3839" w:rsidRPr="006E3839" w:rsidRDefault="006E3839" w:rsidP="00431E07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  <w:r w:rsidRPr="006E3839">
              <w:rPr>
                <w:rFonts w:ascii="Century Gothic" w:hAnsi="Century Gothic"/>
              </w:rPr>
              <w:t>PURPOSE</w:t>
            </w:r>
          </w:p>
        </w:tc>
        <w:tc>
          <w:tcPr>
            <w:tcW w:w="3604" w:type="dxa"/>
            <w:shd w:val="clear" w:color="auto" w:fill="852057"/>
            <w:noWrap/>
            <w:hideMark/>
          </w:tcPr>
          <w:p w14:paraId="004F252C" w14:textId="77777777" w:rsidR="006E3839" w:rsidRPr="006E3839" w:rsidRDefault="006E3839" w:rsidP="00431E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</w:rPr>
            </w:pPr>
            <w:r w:rsidRPr="006E3839">
              <w:rPr>
                <w:rFonts w:ascii="Century Gothic" w:hAnsi="Century Gothic"/>
              </w:rPr>
              <w:t>WHO IT SERVES</w:t>
            </w:r>
          </w:p>
        </w:tc>
        <w:tc>
          <w:tcPr>
            <w:tcW w:w="3530" w:type="dxa"/>
            <w:shd w:val="clear" w:color="auto" w:fill="852057"/>
            <w:noWrap/>
            <w:hideMark/>
          </w:tcPr>
          <w:p w14:paraId="7751C41A" w14:textId="77777777" w:rsidR="006E3839" w:rsidRPr="006E3839" w:rsidRDefault="006E3839" w:rsidP="00431E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</w:rPr>
            </w:pPr>
            <w:r w:rsidRPr="006E3839">
              <w:rPr>
                <w:rFonts w:ascii="Century Gothic" w:hAnsi="Century Gothic"/>
              </w:rPr>
              <w:t>CORE OUTCOME</w:t>
            </w:r>
          </w:p>
        </w:tc>
      </w:tr>
      <w:tr w:rsidR="006E3839" w:rsidRPr="006E3839" w14:paraId="3A9CE5A3" w14:textId="77777777" w:rsidTr="006E3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73CE2C2" w14:textId="77777777" w:rsidR="006E3839" w:rsidRPr="006E3839" w:rsidRDefault="006E3839" w:rsidP="00431E07">
            <w:pPr>
              <w:jc w:val="center"/>
              <w:rPr>
                <w:rFonts w:ascii="Century Gothic" w:hAnsi="Century Gothic"/>
                <w:b w:val="0"/>
                <w:bCs w:val="0"/>
                <w:color w:val="000000" w:themeColor="text1"/>
              </w:rPr>
            </w:pPr>
            <w:r w:rsidRPr="006E3839">
              <w:rPr>
                <w:rFonts w:ascii="Century Gothic" w:hAnsi="Century Gothic"/>
                <w:b w:val="0"/>
                <w:bCs w:val="0"/>
                <w:color w:val="000000" w:themeColor="text1"/>
              </w:rPr>
              <w:t>Make resilience gaps visible, owned, and actionable before they become business-impacting incidents.</w:t>
            </w:r>
          </w:p>
        </w:tc>
        <w:tc>
          <w:tcPr>
            <w:tcW w:w="3604" w:type="dxa"/>
            <w:vMerge w:val="restart"/>
            <w:tcBorders>
              <w:top w:val="none" w:sz="0" w:space="0" w:color="auto"/>
              <w:bottom w:val="none" w:sz="0" w:space="0" w:color="auto"/>
            </w:tcBorders>
            <w:hideMark/>
          </w:tcPr>
          <w:p w14:paraId="35D3F5C2" w14:textId="77777777" w:rsidR="006E3839" w:rsidRPr="006E3839" w:rsidRDefault="006E3839" w:rsidP="00431E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</w:rPr>
            </w:pPr>
            <w:r w:rsidRPr="006E3839">
              <w:rPr>
                <w:rFonts w:ascii="Century Gothic" w:hAnsi="Century Gothic"/>
                <w:color w:val="000000" w:themeColor="text1"/>
              </w:rPr>
              <w:t>CIOs, CISOs, IT directors, security leaders, risk owners, and teams overseeing managed security partners.</w:t>
            </w:r>
          </w:p>
        </w:tc>
        <w:tc>
          <w:tcPr>
            <w:tcW w:w="3530" w:type="dxa"/>
            <w:vMerge w:val="restart"/>
            <w:tcBorders>
              <w:top w:val="none" w:sz="0" w:space="0" w:color="auto"/>
              <w:bottom w:val="none" w:sz="0" w:space="0" w:color="auto"/>
            </w:tcBorders>
            <w:hideMark/>
          </w:tcPr>
          <w:p w14:paraId="1F87DFAE" w14:textId="77777777" w:rsidR="006E3839" w:rsidRPr="006E3839" w:rsidRDefault="006E3839" w:rsidP="00431E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</w:rPr>
            </w:pPr>
            <w:r w:rsidRPr="006E3839">
              <w:rPr>
                <w:rFonts w:ascii="Century Gothic" w:hAnsi="Century Gothic"/>
                <w:color w:val="000000" w:themeColor="text1"/>
              </w:rPr>
              <w:t>A shared, auditable view of readiness, evidence, decision rights, priorities, and improvement over time.</w:t>
            </w:r>
          </w:p>
        </w:tc>
      </w:tr>
      <w:tr w:rsidR="006E3839" w:rsidRPr="006E3839" w14:paraId="45D49405" w14:textId="77777777" w:rsidTr="006E3839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4" w:type="dxa"/>
            <w:vMerge/>
            <w:tcBorders>
              <w:right w:val="none" w:sz="0" w:space="0" w:color="auto"/>
            </w:tcBorders>
            <w:hideMark/>
          </w:tcPr>
          <w:p w14:paraId="3022665F" w14:textId="77777777" w:rsidR="006E3839" w:rsidRPr="006E3839" w:rsidRDefault="006E3839" w:rsidP="00431E07">
            <w:pPr>
              <w:rPr>
                <w:rFonts w:ascii="Century Gothic" w:hAnsi="Century Gothic"/>
              </w:rPr>
            </w:pPr>
          </w:p>
        </w:tc>
        <w:tc>
          <w:tcPr>
            <w:tcW w:w="3604" w:type="dxa"/>
            <w:vMerge/>
            <w:hideMark/>
          </w:tcPr>
          <w:p w14:paraId="32BE2148" w14:textId="77777777" w:rsidR="006E3839" w:rsidRPr="006E3839" w:rsidRDefault="006E3839" w:rsidP="00431E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3530" w:type="dxa"/>
            <w:vMerge/>
            <w:hideMark/>
          </w:tcPr>
          <w:p w14:paraId="430F87AB" w14:textId="77777777" w:rsidR="006E3839" w:rsidRPr="006E3839" w:rsidRDefault="006E3839" w:rsidP="00431E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</w:tbl>
    <w:p w14:paraId="26ADB40C" w14:textId="15A9A19F" w:rsidR="006E3839" w:rsidRPr="006E3839" w:rsidRDefault="006E3839" w:rsidP="006E3839">
      <w:pPr>
        <w:rPr>
          <w:rStyle w:val="IntenseReference"/>
          <w:rFonts w:ascii="Century Gothic" w:hAnsi="Century Gothic"/>
          <w:color w:val="852057"/>
        </w:rPr>
      </w:pPr>
      <w:r w:rsidRPr="006E3839">
        <w:rPr>
          <w:rStyle w:val="IntenseReference"/>
          <w:rFonts w:ascii="Century Gothic" w:hAnsi="Century Gothic"/>
        </w:rPr>
        <w:br/>
      </w:r>
      <w:r w:rsidRPr="006E3839">
        <w:rPr>
          <w:rStyle w:val="IntenseReference"/>
          <w:rFonts w:ascii="Century Gothic" w:hAnsi="Century Gothic"/>
          <w:color w:val="852057"/>
        </w:rPr>
        <w:t>WHAT THE TOOLKIT INCLUDES</w:t>
      </w:r>
    </w:p>
    <w:tbl>
      <w:tblPr>
        <w:tblStyle w:val="ListTable3-Accent1"/>
        <w:tblW w:w="10795" w:type="dxa"/>
        <w:tblBorders>
          <w:top w:val="single" w:sz="4" w:space="0" w:color="ECAED0"/>
          <w:left w:val="single" w:sz="4" w:space="0" w:color="ECAED0"/>
          <w:bottom w:val="single" w:sz="4" w:space="0" w:color="ECAED0"/>
          <w:right w:val="single" w:sz="4" w:space="0" w:color="ECAED0"/>
          <w:insideH w:val="single" w:sz="4" w:space="0" w:color="ECAED0"/>
        </w:tblBorders>
        <w:tblLook w:val="04A0" w:firstRow="1" w:lastRow="0" w:firstColumn="1" w:lastColumn="0" w:noHBand="0" w:noVBand="1"/>
      </w:tblPr>
      <w:tblGrid>
        <w:gridCol w:w="2318"/>
        <w:gridCol w:w="4067"/>
        <w:gridCol w:w="4410"/>
      </w:tblGrid>
      <w:tr w:rsidR="006E3839" w:rsidRPr="006E3839" w14:paraId="68B4C351" w14:textId="77777777" w:rsidTr="006E38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18" w:type="dxa"/>
            <w:tcBorders>
              <w:bottom w:val="none" w:sz="0" w:space="0" w:color="auto"/>
              <w:right w:val="none" w:sz="0" w:space="0" w:color="auto"/>
            </w:tcBorders>
            <w:shd w:val="clear" w:color="auto" w:fill="852057"/>
            <w:noWrap/>
            <w:hideMark/>
          </w:tcPr>
          <w:p w14:paraId="70E0FD29" w14:textId="77777777" w:rsidR="006E3839" w:rsidRPr="006E3839" w:rsidRDefault="006E3839" w:rsidP="00431E07">
            <w:pPr>
              <w:rPr>
                <w:rFonts w:ascii="Century Gothic" w:hAnsi="Century Gothic"/>
                <w:b w:val="0"/>
                <w:bCs w:val="0"/>
              </w:rPr>
            </w:pPr>
            <w:r w:rsidRPr="006E3839">
              <w:rPr>
                <w:rFonts w:ascii="Century Gothic" w:hAnsi="Century Gothic"/>
              </w:rPr>
              <w:t>RESOURCE</w:t>
            </w:r>
          </w:p>
        </w:tc>
        <w:tc>
          <w:tcPr>
            <w:tcW w:w="4067" w:type="dxa"/>
            <w:shd w:val="clear" w:color="auto" w:fill="852057"/>
            <w:noWrap/>
            <w:hideMark/>
          </w:tcPr>
          <w:p w14:paraId="025CEEB5" w14:textId="77777777" w:rsidR="006E3839" w:rsidRPr="006E3839" w:rsidRDefault="006E3839" w:rsidP="00431E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</w:rPr>
            </w:pPr>
            <w:r w:rsidRPr="006E3839">
              <w:rPr>
                <w:rFonts w:ascii="Century Gothic" w:hAnsi="Century Gothic"/>
              </w:rPr>
              <w:t>WHAT IT DOES</w:t>
            </w:r>
          </w:p>
        </w:tc>
        <w:tc>
          <w:tcPr>
            <w:tcW w:w="4410" w:type="dxa"/>
            <w:shd w:val="clear" w:color="auto" w:fill="852057"/>
            <w:noWrap/>
            <w:hideMark/>
          </w:tcPr>
          <w:p w14:paraId="423E3CF1" w14:textId="77777777" w:rsidR="006E3839" w:rsidRPr="006E3839" w:rsidRDefault="006E3839" w:rsidP="00431E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</w:rPr>
            </w:pPr>
            <w:r w:rsidRPr="006E3839">
              <w:rPr>
                <w:rFonts w:ascii="Century Gothic" w:hAnsi="Century Gothic"/>
              </w:rPr>
              <w:t>LEADERSHIP OUTPUT</w:t>
            </w:r>
          </w:p>
        </w:tc>
      </w:tr>
      <w:tr w:rsidR="006E3839" w:rsidRPr="006E3839" w14:paraId="42EB4617" w14:textId="77777777" w:rsidTr="006E3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9B5DC21" w14:textId="77777777" w:rsidR="006E3839" w:rsidRPr="006E3839" w:rsidRDefault="006E3839" w:rsidP="00431E07">
            <w:pPr>
              <w:rPr>
                <w:rFonts w:ascii="Century Gothic" w:hAnsi="Century Gothic"/>
                <w:b w:val="0"/>
                <w:bCs w:val="0"/>
              </w:rPr>
            </w:pPr>
            <w:r w:rsidRPr="006E3839">
              <w:rPr>
                <w:rFonts w:ascii="Century Gothic" w:hAnsi="Century Gothic"/>
              </w:rPr>
              <w:t>Executive Scorecard</w:t>
            </w:r>
          </w:p>
        </w:tc>
        <w:tc>
          <w:tcPr>
            <w:tcW w:w="406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0CAD8CC" w14:textId="77777777" w:rsidR="006E3839" w:rsidRPr="006E3839" w:rsidRDefault="006E3839" w:rsidP="00431E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E3839">
              <w:rPr>
                <w:rFonts w:ascii="Century Gothic" w:hAnsi="Century Gothic"/>
              </w:rPr>
              <w:t>Scores 17 readiness questions across governance, identity, endpoint, visibility, detection, response, improvement, and business alignment.</w:t>
            </w:r>
          </w:p>
        </w:tc>
        <w:tc>
          <w:tcPr>
            <w:tcW w:w="441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0EBD8DD" w14:textId="77777777" w:rsidR="006E3839" w:rsidRPr="006E3839" w:rsidRDefault="006E3839" w:rsidP="00431E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E3839">
              <w:rPr>
                <w:rFonts w:ascii="Century Gothic" w:hAnsi="Century Gothic"/>
              </w:rPr>
              <w:t>An evidence-backed readiness baseline, named gaps, owners, actions, and dates.</w:t>
            </w:r>
          </w:p>
        </w:tc>
      </w:tr>
      <w:tr w:rsidR="006E3839" w:rsidRPr="006E3839" w14:paraId="0A2FC2D2" w14:textId="77777777" w:rsidTr="006E3839">
        <w:trPr>
          <w:trHeight w:val="7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tcBorders>
              <w:right w:val="none" w:sz="0" w:space="0" w:color="auto"/>
            </w:tcBorders>
            <w:hideMark/>
          </w:tcPr>
          <w:p w14:paraId="56ECB5D9" w14:textId="77777777" w:rsidR="006E3839" w:rsidRPr="006E3839" w:rsidRDefault="006E3839" w:rsidP="00431E07">
            <w:pPr>
              <w:rPr>
                <w:rFonts w:ascii="Century Gothic" w:hAnsi="Century Gothic"/>
                <w:b w:val="0"/>
                <w:bCs w:val="0"/>
              </w:rPr>
            </w:pPr>
            <w:r w:rsidRPr="006E3839">
              <w:rPr>
                <w:rFonts w:ascii="Century Gothic" w:hAnsi="Century Gothic"/>
              </w:rPr>
              <w:t>Attack Path Worksheet</w:t>
            </w:r>
          </w:p>
        </w:tc>
        <w:tc>
          <w:tcPr>
            <w:tcW w:w="4067" w:type="dxa"/>
            <w:hideMark/>
          </w:tcPr>
          <w:p w14:paraId="52092956" w14:textId="77777777" w:rsidR="006E3839" w:rsidRPr="006E3839" w:rsidRDefault="006E3839" w:rsidP="00431E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E3839">
              <w:rPr>
                <w:rFonts w:ascii="Century Gothic" w:hAnsi="Century Gothic"/>
              </w:rPr>
              <w:t>Maps a realistic silent-breach sequence from initial access through containment and learning.</w:t>
            </w:r>
          </w:p>
        </w:tc>
        <w:tc>
          <w:tcPr>
            <w:tcW w:w="4410" w:type="dxa"/>
            <w:hideMark/>
          </w:tcPr>
          <w:p w14:paraId="4483AA79" w14:textId="77777777" w:rsidR="006E3839" w:rsidRPr="006E3839" w:rsidRDefault="006E3839" w:rsidP="00431E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E3839">
              <w:rPr>
                <w:rFonts w:ascii="Century Gothic" w:hAnsi="Century Gothic"/>
              </w:rPr>
              <w:t>A cross-functional tabletop that exposes missing signals, slow decisions, and unclear authority.</w:t>
            </w:r>
          </w:p>
        </w:tc>
      </w:tr>
      <w:tr w:rsidR="006E3839" w:rsidRPr="006E3839" w14:paraId="2243B3F8" w14:textId="77777777" w:rsidTr="006E3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551A41D" w14:textId="77777777" w:rsidR="006E3839" w:rsidRPr="006E3839" w:rsidRDefault="006E3839" w:rsidP="00431E07">
            <w:pPr>
              <w:rPr>
                <w:rFonts w:ascii="Century Gothic" w:hAnsi="Century Gothic"/>
                <w:b w:val="0"/>
                <w:bCs w:val="0"/>
              </w:rPr>
            </w:pPr>
            <w:r w:rsidRPr="006E3839">
              <w:rPr>
                <w:rFonts w:ascii="Century Gothic" w:hAnsi="Century Gothic"/>
              </w:rPr>
              <w:t>Accountability Guide</w:t>
            </w:r>
          </w:p>
        </w:tc>
        <w:tc>
          <w:tcPr>
            <w:tcW w:w="406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811E4B9" w14:textId="77777777" w:rsidR="006E3839" w:rsidRPr="006E3839" w:rsidRDefault="006E3839" w:rsidP="00431E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E3839">
              <w:rPr>
                <w:rFonts w:ascii="Century Gothic" w:hAnsi="Century Gothic"/>
              </w:rPr>
              <w:t>Separates what the organization must establish from what security partners should provide and prove.</w:t>
            </w:r>
          </w:p>
        </w:tc>
        <w:tc>
          <w:tcPr>
            <w:tcW w:w="441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1804E2C" w14:textId="77777777" w:rsidR="006E3839" w:rsidRPr="006E3839" w:rsidRDefault="006E3839" w:rsidP="00431E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E3839">
              <w:rPr>
                <w:rFonts w:ascii="Century Gothic" w:hAnsi="Century Gothic"/>
              </w:rPr>
              <w:t>Clear shared responsibility, review cadence, evidence expectations, and unresolved decisions.</w:t>
            </w:r>
          </w:p>
        </w:tc>
      </w:tr>
      <w:tr w:rsidR="006E3839" w:rsidRPr="006E3839" w14:paraId="2E71662D" w14:textId="77777777" w:rsidTr="006E3839">
        <w:trPr>
          <w:trHeight w:val="1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tcBorders>
              <w:right w:val="none" w:sz="0" w:space="0" w:color="auto"/>
            </w:tcBorders>
            <w:hideMark/>
          </w:tcPr>
          <w:p w14:paraId="1A5BFD99" w14:textId="77777777" w:rsidR="006E3839" w:rsidRPr="006E3839" w:rsidRDefault="006E3839" w:rsidP="00431E07">
            <w:pPr>
              <w:rPr>
                <w:rFonts w:ascii="Century Gothic" w:hAnsi="Century Gothic"/>
                <w:b w:val="0"/>
                <w:bCs w:val="0"/>
              </w:rPr>
            </w:pPr>
            <w:r w:rsidRPr="006E3839">
              <w:rPr>
                <w:rFonts w:ascii="Century Gothic" w:hAnsi="Century Gothic"/>
              </w:rPr>
              <w:t>Benchmark Definitions</w:t>
            </w:r>
          </w:p>
        </w:tc>
        <w:tc>
          <w:tcPr>
            <w:tcW w:w="4067" w:type="dxa"/>
            <w:hideMark/>
          </w:tcPr>
          <w:p w14:paraId="561C9B84" w14:textId="77777777" w:rsidR="006E3839" w:rsidRPr="006E3839" w:rsidRDefault="006E3839" w:rsidP="00431E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E3839">
              <w:rPr>
                <w:rFonts w:ascii="Century Gothic" w:hAnsi="Century Gothic"/>
              </w:rPr>
              <w:t>Defines MTTD, MTTR, containment, coverage, escalation, missed-detection, and repeat-gap measures before comparison.</w:t>
            </w:r>
          </w:p>
        </w:tc>
        <w:tc>
          <w:tcPr>
            <w:tcW w:w="4410" w:type="dxa"/>
            <w:hideMark/>
          </w:tcPr>
          <w:p w14:paraId="2286F4FE" w14:textId="77777777" w:rsidR="006E3839" w:rsidRPr="006E3839" w:rsidRDefault="006E3839" w:rsidP="00431E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E3839">
              <w:rPr>
                <w:rFonts w:ascii="Century Gothic" w:hAnsi="Century Gothic"/>
              </w:rPr>
              <w:t>Comparable metrics with agreed start/stop points, scope, targets, owners, and sources.</w:t>
            </w:r>
          </w:p>
        </w:tc>
      </w:tr>
    </w:tbl>
    <w:p w14:paraId="4F69A523" w14:textId="0684E629" w:rsidR="006E3839" w:rsidRPr="006E3839" w:rsidRDefault="006E3839" w:rsidP="006E3839">
      <w:pPr>
        <w:rPr>
          <w:rStyle w:val="IntenseReference"/>
          <w:rFonts w:ascii="Century Gothic" w:hAnsi="Century Gothic"/>
        </w:rPr>
      </w:pPr>
    </w:p>
    <w:p w14:paraId="77F761F7" w14:textId="74F40C0F" w:rsidR="006E3839" w:rsidRPr="006E3839" w:rsidRDefault="006E3839" w:rsidP="006E3839">
      <w:pPr>
        <w:rPr>
          <w:rStyle w:val="IntenseReference"/>
          <w:rFonts w:ascii="Century Gothic" w:hAnsi="Century Gothic"/>
        </w:rPr>
      </w:pPr>
    </w:p>
    <w:p w14:paraId="19DF50EC" w14:textId="2EB10A9B" w:rsidR="006E3839" w:rsidRPr="006E3839" w:rsidRDefault="006E3839" w:rsidP="006E3839">
      <w:pPr>
        <w:jc w:val="center"/>
        <w:rPr>
          <w:rStyle w:val="IntenseReference"/>
          <w:rFonts w:ascii="Century Gothic" w:hAnsi="Century Gothic"/>
          <w:sz w:val="16"/>
          <w:szCs w:val="16"/>
        </w:rPr>
      </w:pPr>
      <w:hyperlink r:id="rId8" w:history="1">
        <w:r w:rsidRPr="006E3839">
          <w:rPr>
            <w:rStyle w:val="Hyperlink"/>
            <w:rFonts w:ascii="Century Gothic" w:hAnsi="Century Gothic"/>
            <w:color w:val="852057"/>
            <w:spacing w:val="5"/>
          </w:rPr>
          <w:t>DOWNLOAD COPY OF TOOLKIT</w:t>
        </w:r>
      </w:hyperlink>
      <w:r w:rsidRPr="006E3839">
        <w:rPr>
          <w:rStyle w:val="IntenseReference"/>
          <w:rFonts w:ascii="Century Gothic" w:hAnsi="Century Gothic"/>
          <w:color w:val="852057"/>
        </w:rPr>
        <w:br/>
      </w:r>
      <w:hyperlink r:id="rId9" w:history="1">
        <w:r w:rsidRPr="006E3839">
          <w:rPr>
            <w:rStyle w:val="Hyperlink"/>
            <w:rFonts w:ascii="Century Gothic" w:hAnsi="Century Gothic"/>
            <w:spacing w:val="5"/>
            <w:sz w:val="16"/>
            <w:szCs w:val="16"/>
          </w:rPr>
          <w:t>https://www.logically.com/managed-resilience-toolkit</w:t>
        </w:r>
      </w:hyperlink>
    </w:p>
    <w:p w14:paraId="00901717" w14:textId="337E70B7" w:rsidR="006E3839" w:rsidRPr="006E3839" w:rsidRDefault="006E3839" w:rsidP="006E3839">
      <w:pPr>
        <w:rPr>
          <w:rStyle w:val="IntenseReference"/>
          <w:rFonts w:ascii="Century Gothic" w:hAnsi="Century Gothic"/>
        </w:rPr>
      </w:pPr>
      <w:r w:rsidRPr="006E3839">
        <w:rPr>
          <w:rFonts w:ascii="Century Gothic" w:hAnsi="Century Gothic"/>
          <w:noProof/>
        </w:rPr>
        <w:drawing>
          <wp:anchor distT="0" distB="0" distL="114300" distR="114300" simplePos="0" relativeHeight="251661312" behindDoc="0" locked="0" layoutInCell="1" allowOverlap="1" wp14:anchorId="156FAE18" wp14:editId="2D245CEB">
            <wp:simplePos x="0" y="0"/>
            <wp:positionH relativeFrom="column">
              <wp:posOffset>2843644</wp:posOffset>
            </wp:positionH>
            <wp:positionV relativeFrom="paragraph">
              <wp:posOffset>3175</wp:posOffset>
            </wp:positionV>
            <wp:extent cx="1122468" cy="1112075"/>
            <wp:effectExtent l="0" t="0" r="1905" b="0"/>
            <wp:wrapNone/>
            <wp:docPr id="752661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66162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468" cy="111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606BAA" w14:textId="77777777" w:rsidR="006E3839" w:rsidRPr="006E3839" w:rsidRDefault="006E3839" w:rsidP="006E3839">
      <w:pPr>
        <w:rPr>
          <w:rStyle w:val="IntenseReference"/>
          <w:rFonts w:ascii="Century Gothic" w:hAnsi="Century Gothic"/>
        </w:rPr>
      </w:pPr>
    </w:p>
    <w:p w14:paraId="0188FCF6" w14:textId="77777777" w:rsidR="006E3839" w:rsidRPr="006E3839" w:rsidRDefault="006E3839" w:rsidP="006E3839">
      <w:pPr>
        <w:rPr>
          <w:rStyle w:val="IntenseReference"/>
          <w:rFonts w:ascii="Century Gothic" w:hAnsi="Century Gothic"/>
        </w:rPr>
      </w:pPr>
    </w:p>
    <w:p w14:paraId="349AFFF3" w14:textId="77777777" w:rsidR="006E3839" w:rsidRPr="006E3839" w:rsidRDefault="006E3839" w:rsidP="006E3839">
      <w:pPr>
        <w:rPr>
          <w:rStyle w:val="IntenseReference"/>
          <w:rFonts w:ascii="Century Gothic" w:hAnsi="Century Gothic"/>
        </w:rPr>
      </w:pPr>
    </w:p>
    <w:p w14:paraId="48670759" w14:textId="77777777" w:rsidR="006E3839" w:rsidRPr="006E3839" w:rsidRDefault="006E3839" w:rsidP="006E3839">
      <w:pPr>
        <w:rPr>
          <w:rStyle w:val="IntenseReference"/>
          <w:rFonts w:ascii="Century Gothic" w:hAnsi="Century Gothic"/>
        </w:rPr>
      </w:pPr>
    </w:p>
    <w:p w14:paraId="7B159C7E" w14:textId="3D8B81CE" w:rsidR="009C7C23" w:rsidRPr="006E3839" w:rsidRDefault="009C7C23">
      <w:pPr>
        <w:rPr>
          <w:rFonts w:ascii="Century Gothic" w:hAnsi="Century Gothic"/>
        </w:rPr>
      </w:pPr>
    </w:p>
    <w:p w14:paraId="68C76D62" w14:textId="77777777" w:rsidR="006E3839" w:rsidRPr="006E3839" w:rsidRDefault="006E3839">
      <w:pPr>
        <w:rPr>
          <w:rFonts w:ascii="Century Gothic" w:hAnsi="Century Gothic"/>
        </w:rPr>
      </w:pPr>
    </w:p>
    <w:p w14:paraId="62DA5D29" w14:textId="77777777" w:rsidR="006E3839" w:rsidRPr="006E3839" w:rsidRDefault="006E3839">
      <w:pPr>
        <w:rPr>
          <w:rFonts w:ascii="Century Gothic" w:hAnsi="Century Gothic"/>
        </w:rPr>
      </w:pPr>
    </w:p>
    <w:p w14:paraId="2AC22BE6" w14:textId="77777777" w:rsidR="006E3839" w:rsidRPr="006E3839" w:rsidRDefault="006E3839" w:rsidP="006E3839">
      <w:pPr>
        <w:rPr>
          <w:rFonts w:ascii="Century Gothic" w:hAnsi="Century Gothic"/>
        </w:rPr>
      </w:pPr>
    </w:p>
    <w:p w14:paraId="761AEB98" w14:textId="77777777" w:rsidR="006E3839" w:rsidRDefault="006E3839" w:rsidP="006E3839">
      <w:pPr>
        <w:rPr>
          <w:rFonts w:ascii="Century Gothic" w:hAnsi="Century Gothic"/>
        </w:rPr>
      </w:pPr>
    </w:p>
    <w:p w14:paraId="36BC432D" w14:textId="77777777" w:rsidR="00490E76" w:rsidRDefault="00490E76" w:rsidP="006E3839">
      <w:pPr>
        <w:rPr>
          <w:rFonts w:ascii="Century Gothic" w:hAnsi="Century Gothic"/>
        </w:rPr>
      </w:pPr>
    </w:p>
    <w:p w14:paraId="4A77BF3C" w14:textId="77777777" w:rsidR="00490E76" w:rsidRDefault="00490E76" w:rsidP="006E3839">
      <w:pPr>
        <w:rPr>
          <w:rFonts w:ascii="Century Gothic" w:hAnsi="Century Gothic"/>
        </w:rPr>
      </w:pPr>
    </w:p>
    <w:p w14:paraId="11E0C710" w14:textId="77777777" w:rsidR="00490E76" w:rsidRDefault="00490E76" w:rsidP="006E3839">
      <w:pPr>
        <w:rPr>
          <w:rFonts w:ascii="Century Gothic" w:hAnsi="Century Gothic"/>
        </w:rPr>
      </w:pPr>
    </w:p>
    <w:p w14:paraId="21B447F0" w14:textId="77777777" w:rsidR="00490E76" w:rsidRDefault="00490E76" w:rsidP="006E3839">
      <w:pPr>
        <w:rPr>
          <w:rFonts w:ascii="Century Gothic" w:hAnsi="Century Gothic"/>
        </w:rPr>
      </w:pPr>
    </w:p>
    <w:p w14:paraId="3F962EF2" w14:textId="77777777" w:rsidR="00490E76" w:rsidRDefault="00490E76" w:rsidP="006E3839">
      <w:pPr>
        <w:rPr>
          <w:rFonts w:ascii="Century Gothic" w:hAnsi="Century Gothic"/>
        </w:rPr>
      </w:pPr>
    </w:p>
    <w:p w14:paraId="6249C626" w14:textId="77777777" w:rsidR="00490E76" w:rsidRDefault="00490E76" w:rsidP="006E3839">
      <w:pPr>
        <w:rPr>
          <w:rFonts w:ascii="Century Gothic" w:hAnsi="Century Gothic"/>
        </w:rPr>
      </w:pPr>
    </w:p>
    <w:p w14:paraId="12A9520F" w14:textId="77777777" w:rsidR="00490E76" w:rsidRDefault="00490E76" w:rsidP="006E3839">
      <w:pPr>
        <w:rPr>
          <w:rFonts w:ascii="Century Gothic" w:hAnsi="Century Gothic"/>
        </w:rPr>
      </w:pPr>
    </w:p>
    <w:p w14:paraId="7FD74CD1" w14:textId="77777777" w:rsidR="00490E76" w:rsidRDefault="00490E76" w:rsidP="006E3839">
      <w:pPr>
        <w:rPr>
          <w:rFonts w:ascii="Century Gothic" w:hAnsi="Century Gothic"/>
        </w:rPr>
      </w:pPr>
    </w:p>
    <w:p w14:paraId="131CD528" w14:textId="77777777" w:rsidR="00490E76" w:rsidRDefault="00490E76" w:rsidP="006E3839">
      <w:pPr>
        <w:rPr>
          <w:rFonts w:ascii="Century Gothic" w:hAnsi="Century Gothic"/>
        </w:rPr>
      </w:pPr>
    </w:p>
    <w:p w14:paraId="6CD4C026" w14:textId="77777777" w:rsidR="00490E76" w:rsidRDefault="00490E76" w:rsidP="006E3839">
      <w:pPr>
        <w:rPr>
          <w:rFonts w:ascii="Century Gothic" w:hAnsi="Century Gothic"/>
        </w:rPr>
      </w:pPr>
    </w:p>
    <w:p w14:paraId="7B4B1144" w14:textId="77777777" w:rsidR="00490E76" w:rsidRDefault="00490E76" w:rsidP="006E3839">
      <w:pPr>
        <w:rPr>
          <w:rFonts w:ascii="Century Gothic" w:hAnsi="Century Gothic"/>
        </w:rPr>
      </w:pPr>
    </w:p>
    <w:p w14:paraId="493421E4" w14:textId="77777777" w:rsidR="00490E76" w:rsidRDefault="00490E76" w:rsidP="006E3839">
      <w:pPr>
        <w:rPr>
          <w:rFonts w:ascii="Century Gothic" w:hAnsi="Century Gothic"/>
        </w:rPr>
      </w:pPr>
    </w:p>
    <w:p w14:paraId="0C8ADE5F" w14:textId="77777777" w:rsidR="00490E76" w:rsidRDefault="00490E76" w:rsidP="006E3839">
      <w:pPr>
        <w:rPr>
          <w:rFonts w:ascii="Century Gothic" w:hAnsi="Century Gothic"/>
        </w:rPr>
      </w:pPr>
    </w:p>
    <w:p w14:paraId="7663858F" w14:textId="77777777" w:rsidR="00490E76" w:rsidRDefault="00490E76" w:rsidP="006E3839">
      <w:pPr>
        <w:rPr>
          <w:rFonts w:ascii="Century Gothic" w:hAnsi="Century Gothic"/>
        </w:rPr>
      </w:pPr>
    </w:p>
    <w:p w14:paraId="3A7995B6" w14:textId="77777777" w:rsidR="00490E76" w:rsidRDefault="00490E76" w:rsidP="006E3839">
      <w:pPr>
        <w:rPr>
          <w:rFonts w:ascii="Century Gothic" w:hAnsi="Century Gothic"/>
        </w:rPr>
      </w:pPr>
    </w:p>
    <w:p w14:paraId="41D08B77" w14:textId="77777777" w:rsidR="00490E76" w:rsidRDefault="00490E76" w:rsidP="006E3839">
      <w:pPr>
        <w:rPr>
          <w:rFonts w:ascii="Century Gothic" w:hAnsi="Century Gothic"/>
        </w:rPr>
      </w:pPr>
    </w:p>
    <w:p w14:paraId="5AE1A1D7" w14:textId="77777777" w:rsidR="00490E76" w:rsidRDefault="00490E76" w:rsidP="006E3839">
      <w:pPr>
        <w:rPr>
          <w:rFonts w:ascii="Century Gothic" w:hAnsi="Century Gothic"/>
        </w:rPr>
      </w:pPr>
    </w:p>
    <w:p w14:paraId="3AFD95DC" w14:textId="77777777" w:rsidR="00490E76" w:rsidRDefault="00490E76" w:rsidP="006E3839">
      <w:pPr>
        <w:rPr>
          <w:rFonts w:ascii="Century Gothic" w:hAnsi="Century Gothic"/>
        </w:rPr>
      </w:pPr>
    </w:p>
    <w:p w14:paraId="1EB3EB67" w14:textId="697D5A19" w:rsidR="00490E76" w:rsidRPr="006E3839" w:rsidRDefault="00490E76" w:rsidP="006E3839">
      <w:pPr>
        <w:rPr>
          <w:rFonts w:ascii="Century Gothic" w:hAnsi="Century Gothic"/>
        </w:rPr>
      </w:pPr>
    </w:p>
    <w:p w14:paraId="01CD2CA5" w14:textId="77777777" w:rsidR="006E3839" w:rsidRPr="006E3839" w:rsidRDefault="006E3839" w:rsidP="006E3839">
      <w:pPr>
        <w:rPr>
          <w:rFonts w:ascii="Century Gothic" w:hAnsi="Century Gothic"/>
          <w:b/>
          <w:bCs/>
          <w:color w:val="852057"/>
        </w:rPr>
      </w:pPr>
      <w:r w:rsidRPr="006E3839">
        <w:rPr>
          <w:rFonts w:ascii="Century Gothic" w:hAnsi="Century Gothic"/>
          <w:b/>
          <w:bCs/>
          <w:color w:val="852057"/>
        </w:rPr>
        <w:t>About the Contributing Author</w:t>
      </w:r>
    </w:p>
    <w:p w14:paraId="37366453" w14:textId="4103141C" w:rsidR="006E3839" w:rsidRPr="006E3839" w:rsidRDefault="006E3839" w:rsidP="006E3839">
      <w:pPr>
        <w:spacing w:after="0"/>
        <w:rPr>
          <w:rFonts w:ascii="Century Gothic" w:hAnsi="Century Gothic"/>
          <w:color w:val="3B4D59"/>
        </w:rPr>
      </w:pPr>
      <w:r w:rsidRPr="006E3839">
        <w:rPr>
          <w:rFonts w:ascii="Century Gothic" w:hAnsi="Century Gothic"/>
        </w:rPr>
        <w:t>Contributed by</w:t>
      </w:r>
      <w:r w:rsidRPr="006E3839">
        <w:rPr>
          <w:rFonts w:ascii="Century Gothic" w:hAnsi="Century Gothic"/>
          <w:b/>
          <w:bCs/>
        </w:rPr>
        <w:t xml:space="preserve"> </w:t>
      </w:r>
      <w:hyperlink r:id="rId10" w:history="1">
        <w:r w:rsidRPr="00994F4D">
          <w:rPr>
            <w:rStyle w:val="Hyperlink"/>
            <w:rFonts w:ascii="Century Gothic" w:hAnsi="Century Gothic"/>
            <w:color w:val="852057"/>
          </w:rPr>
          <w:t>Natalie Suarez</w:t>
        </w:r>
      </w:hyperlink>
      <w:r w:rsidRPr="006E3839">
        <w:rPr>
          <w:rStyle w:val="SubtleEmphasis"/>
        </w:rPr>
        <w:t xml:space="preserve">, Cyber Advisor, Huntress </w:t>
      </w:r>
      <w:r w:rsidRPr="006E3839">
        <w:rPr>
          <w:rFonts w:ascii="Century Gothic" w:hAnsi="Century Gothic"/>
        </w:rPr>
        <w:t xml:space="preserve">for </w:t>
      </w:r>
      <w:proofErr w:type="spellStart"/>
      <w:r w:rsidRPr="006E3839">
        <w:rPr>
          <w:rFonts w:ascii="Century Gothic" w:hAnsi="Century Gothic"/>
        </w:rPr>
        <w:t>Logically’s</w:t>
      </w:r>
      <w:proofErr w:type="spellEnd"/>
      <w:r w:rsidRPr="006E3839">
        <w:rPr>
          <w:rFonts w:ascii="Century Gothic" w:hAnsi="Century Gothic"/>
        </w:rPr>
        <w:t xml:space="preserve"> cybersecurity summit, LogicON. </w:t>
      </w:r>
    </w:p>
    <w:p w14:paraId="3CB38857" w14:textId="77777777" w:rsidR="006E3839" w:rsidRPr="006E3839" w:rsidRDefault="006E3839" w:rsidP="006E3839">
      <w:pPr>
        <w:rPr>
          <w:rFonts w:ascii="Century Gothic" w:hAnsi="Century Gothic"/>
          <w:b/>
          <w:bCs/>
          <w:color w:val="852057"/>
        </w:rPr>
      </w:pPr>
      <w:r w:rsidRPr="006E3839">
        <w:rPr>
          <w:rFonts w:ascii="Century Gothic" w:hAnsi="Century Gothic"/>
          <w:b/>
          <w:bCs/>
          <w:color w:val="3B4D59"/>
        </w:rPr>
        <w:br/>
      </w:r>
      <w:r w:rsidRPr="006E3839">
        <w:rPr>
          <w:rFonts w:ascii="Century Gothic" w:hAnsi="Century Gothic"/>
          <w:b/>
          <w:bCs/>
          <w:color w:val="852057"/>
        </w:rPr>
        <w:t>About Logically</w:t>
      </w:r>
    </w:p>
    <w:p w14:paraId="4E824753" w14:textId="77777777" w:rsidR="006E3839" w:rsidRPr="006E3839" w:rsidRDefault="006E3839" w:rsidP="006E3839">
      <w:pPr>
        <w:rPr>
          <w:rFonts w:ascii="Century Gothic" w:hAnsi="Century Gothic"/>
        </w:rPr>
      </w:pPr>
      <w:r w:rsidRPr="006E3839">
        <w:rPr>
          <w:rFonts w:ascii="Century Gothic" w:hAnsi="Century Gothic"/>
        </w:rPr>
        <w:t>Close the Gap with Logically, the Next-Gen MSP Logically unifies IT operations and cybersecurity into one accountable operating model, providing shared visibility, coordinated response, and clearer control. Modern IT and multi-layered security from one partner, built into an integrated operating model that attackers can’t exploit and traditional MSPs can’t match.</w:t>
      </w:r>
    </w:p>
    <w:p w14:paraId="76F70D32" w14:textId="77777777" w:rsidR="006E3839" w:rsidRPr="006E3839" w:rsidRDefault="006E3839" w:rsidP="006E3839">
      <w:pPr>
        <w:rPr>
          <w:rFonts w:ascii="Century Gothic" w:hAnsi="Century Gothic"/>
        </w:rPr>
      </w:pPr>
      <w:r w:rsidRPr="006E3839">
        <w:rPr>
          <w:rFonts w:ascii="Century Gothic" w:hAnsi="Century Gothic"/>
        </w:rPr>
        <w:t xml:space="preserve">Visit </w:t>
      </w:r>
      <w:hyperlink r:id="rId11" w:history="1">
        <w:r w:rsidRPr="006E3839">
          <w:rPr>
            <w:rStyle w:val="Hyperlink"/>
            <w:rFonts w:ascii="Century Gothic" w:hAnsi="Century Gothic"/>
            <w:color w:val="852057"/>
          </w:rPr>
          <w:t>www.logically.com</w:t>
        </w:r>
      </w:hyperlink>
      <w:r w:rsidRPr="006E3839">
        <w:rPr>
          <w:rFonts w:ascii="Century Gothic" w:hAnsi="Century Gothic"/>
        </w:rPr>
        <w:t xml:space="preserve"> to learn more.</w:t>
      </w:r>
    </w:p>
    <w:p w14:paraId="7ECA5052" w14:textId="77777777" w:rsidR="006E3839" w:rsidRPr="006E3839" w:rsidRDefault="006E3839">
      <w:pPr>
        <w:rPr>
          <w:rFonts w:ascii="Century Gothic" w:hAnsi="Century Gothic"/>
        </w:rPr>
      </w:pPr>
    </w:p>
    <w:sectPr w:rsidR="006E3839" w:rsidRPr="006E3839" w:rsidSect="006E3839">
      <w:headerReference w:type="default" r:id="rId12"/>
      <w:footerReference w:type="even" r:id="rId13"/>
      <w:footerReference w:type="default" r:id="rId14"/>
      <w:footerReference w:type="first" r:id="rId15"/>
      <w:pgSz w:w="12240" w:h="15840"/>
      <w:pgMar w:top="1440" w:right="81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25820" w14:textId="77777777" w:rsidR="00D7324D" w:rsidRDefault="00D7324D" w:rsidP="006E3839">
      <w:pPr>
        <w:spacing w:after="0" w:line="240" w:lineRule="auto"/>
      </w:pPr>
      <w:r>
        <w:separator/>
      </w:r>
    </w:p>
  </w:endnote>
  <w:endnote w:type="continuationSeparator" w:id="0">
    <w:p w14:paraId="2612B3FC" w14:textId="77777777" w:rsidR="00D7324D" w:rsidRDefault="00D7324D" w:rsidP="006E3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532B" w14:textId="0372A1D7" w:rsidR="00490E76" w:rsidRDefault="00490E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AD71" w14:textId="29036CD3" w:rsidR="00490E76" w:rsidRDefault="00490E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E805" w14:textId="626A747B" w:rsidR="00490E76" w:rsidRDefault="00490E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8BE05" w14:textId="77777777" w:rsidR="00D7324D" w:rsidRDefault="00D7324D" w:rsidP="006E3839">
      <w:pPr>
        <w:spacing w:after="0" w:line="240" w:lineRule="auto"/>
      </w:pPr>
      <w:r>
        <w:separator/>
      </w:r>
    </w:p>
  </w:footnote>
  <w:footnote w:type="continuationSeparator" w:id="0">
    <w:p w14:paraId="52AB8BFA" w14:textId="77777777" w:rsidR="00D7324D" w:rsidRDefault="00D7324D" w:rsidP="006E3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AA078" w14:textId="5B91F6D2" w:rsidR="006E3839" w:rsidRDefault="006E383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B6CC4E" wp14:editId="254441BE">
              <wp:simplePos x="0" y="0"/>
              <wp:positionH relativeFrom="column">
                <wp:posOffset>-512698</wp:posOffset>
              </wp:positionH>
              <wp:positionV relativeFrom="paragraph">
                <wp:posOffset>-449272</wp:posOffset>
              </wp:positionV>
              <wp:extent cx="7772746" cy="374072"/>
              <wp:effectExtent l="0" t="0" r="0" b="6985"/>
              <wp:wrapNone/>
              <wp:docPr id="14304939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746" cy="374072"/>
                      </a:xfrm>
                      <a:prstGeom prst="rect">
                        <a:avLst/>
                      </a:prstGeom>
                      <a:solidFill>
                        <a:srgbClr val="8520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0E667D" id="Rectangle 7" o:spid="_x0000_s1026" style="position:absolute;margin-left:-40.35pt;margin-top:-35.4pt;width:612.05pt;height:29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" fillcolor="#852057" stroked="f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3C07282" wp14:editId="38B7F3C0">
          <wp:simplePos x="0" y="0"/>
          <wp:positionH relativeFrom="column">
            <wp:posOffset>5013037</wp:posOffset>
          </wp:positionH>
          <wp:positionV relativeFrom="paragraph">
            <wp:posOffset>45720</wp:posOffset>
          </wp:positionV>
          <wp:extent cx="1478821" cy="312742"/>
          <wp:effectExtent l="0" t="0" r="0" b="0"/>
          <wp:wrapNone/>
          <wp:docPr id="437901550" name="Picture 6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693669" name="Picture 6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821" cy="3127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839"/>
    <w:rsid w:val="00164753"/>
    <w:rsid w:val="003368B1"/>
    <w:rsid w:val="00490E76"/>
    <w:rsid w:val="006E3839"/>
    <w:rsid w:val="006F2B11"/>
    <w:rsid w:val="00943FDB"/>
    <w:rsid w:val="00994F4D"/>
    <w:rsid w:val="009C7C23"/>
    <w:rsid w:val="00AD2D6F"/>
    <w:rsid w:val="00B25D9D"/>
    <w:rsid w:val="00B60AA1"/>
    <w:rsid w:val="00D7324D"/>
    <w:rsid w:val="00E31956"/>
    <w:rsid w:val="00FC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B8BE3"/>
  <w15:chartTrackingRefBased/>
  <w15:docId w15:val="{BBD26BD8-A43D-4D9C-A770-69977940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839"/>
    <w:pPr>
      <w:spacing w:line="259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3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3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E3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8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3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839"/>
  </w:style>
  <w:style w:type="paragraph" w:styleId="Footer">
    <w:name w:val="footer"/>
    <w:basedOn w:val="Normal"/>
    <w:link w:val="FooterChar"/>
    <w:uiPriority w:val="99"/>
    <w:unhideWhenUsed/>
    <w:rsid w:val="006E3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839"/>
  </w:style>
  <w:style w:type="table" w:styleId="ListTable3-Accent1">
    <w:name w:val="List Table 3 Accent 1"/>
    <w:basedOn w:val="TableNormal"/>
    <w:uiPriority w:val="48"/>
    <w:rsid w:val="006E3839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E3839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3839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3839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6E3839"/>
    <w:rPr>
      <w:rFonts w:ascii="Century Gothic" w:hAnsi="Century Gothic"/>
      <w:i/>
      <w:iCs/>
      <w:color w:val="40404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gically.com/managed-resilience-toolkit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logically.com/managed-resilience-toolkit" TargetMode="External"/><Relationship Id="rId11" Type="http://schemas.openxmlformats.org/officeDocument/2006/relationships/hyperlink" Target="http://www.logically.com" TargetMode="Externa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yperlink" Target="https://www.linkedin.com/in/nataliesuarez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logically.com/managed-resilience-toolki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582074e-e1ec-452d-b5bd-691366068573}" enabled="1" method="Privileged" siteId="{f2ad197b-b296-4938-bfff-0db3f914bc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486</Words>
  <Characters>2573</Characters>
  <Application>Microsoft Office Word</Application>
  <DocSecurity>0</DocSecurity>
  <Lines>128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Pricci</dc:creator>
  <cp:keywords/>
  <dc:description/>
  <cp:lastModifiedBy>Jen Pricci</cp:lastModifiedBy>
  <cp:revision>5</cp:revision>
  <dcterms:created xsi:type="dcterms:W3CDTF">2026-10-22T19:13:00Z</dcterms:created>
  <dcterms:modified xsi:type="dcterms:W3CDTF">2026-10-23T15:50:00Z</dcterms:modified>
</cp:coreProperties>
</file>