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D79C" w14:textId="6BB6C3AE" w:rsidR="004744FF" w:rsidRPr="00B72476" w:rsidRDefault="004744FF" w:rsidP="004744FF">
      <w:pPr>
        <w:spacing w:after="0" w:line="240" w:lineRule="auto"/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</w:p>
    <w:p w14:paraId="49B7B155" w14:textId="77777777" w:rsidR="00B72476" w:rsidRPr="00B72476" w:rsidRDefault="00B72476" w:rsidP="00B72476">
      <w:pPr>
        <w:pStyle w:val="Heading2"/>
        <w:rPr>
          <w:rFonts w:ascii="Century Gothic" w:hAnsi="Century Gothic"/>
          <w:color w:val="852057"/>
        </w:rPr>
      </w:pPr>
      <w:bookmarkStart w:id="0" w:name="_Toc241417101"/>
      <w:r w:rsidRPr="00B72476">
        <w:rPr>
          <w:rFonts w:ascii="Century Gothic" w:hAnsi="Century Gothic"/>
          <w:color w:val="852057"/>
        </w:rPr>
        <w:t>The Next-Dollar Test: AI vs. Headcount</w:t>
      </w:r>
      <w:bookmarkEnd w:id="0"/>
    </w:p>
    <w:p w14:paraId="271AF960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This is not an argument for replacing people, it's a discipline for capacity decisions. Before the next headcount request, ask whether the constraint is really people, or capacity that AI could add to the existing team faster and cheaper.</w:t>
      </w:r>
    </w:p>
    <w:p w14:paraId="50DD9624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STEP 1 – DEFINE THE CAPACITY NEED</w:t>
      </w:r>
    </w:p>
    <w:p w14:paraId="5FD5BABE" w14:textId="77777777" w:rsidR="00B72476" w:rsidRPr="00B72476" w:rsidRDefault="00B72476" w:rsidP="00B72476">
      <w:pPr>
        <w:ind w:left="720"/>
        <w:rPr>
          <w:rFonts w:ascii="Century Gothic" w:hAnsi="Century Gothic"/>
        </w:rPr>
      </w:pPr>
      <w:r w:rsidRPr="00B72476">
        <w:rPr>
          <w:rFonts w:ascii="Century Gothic" w:hAnsi="Century Gothic"/>
        </w:rPr>
        <w:t>Team requesting capacity: ________________________________________</w:t>
      </w:r>
    </w:p>
    <w:p w14:paraId="2569F8CC" w14:textId="77777777" w:rsidR="00B72476" w:rsidRPr="00B72476" w:rsidRDefault="00B72476" w:rsidP="00B72476">
      <w:pPr>
        <w:ind w:left="720"/>
        <w:rPr>
          <w:rFonts w:ascii="Century Gothic" w:hAnsi="Century Gothic"/>
        </w:rPr>
      </w:pPr>
      <w:r w:rsidRPr="00B72476">
        <w:rPr>
          <w:rFonts w:ascii="Century Gothic" w:hAnsi="Century Gothic"/>
        </w:rPr>
        <w:t>What work isn't getting done? ____________________________________________________</w:t>
      </w:r>
    </w:p>
    <w:p w14:paraId="6D7A618E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STEP 2 – COMPARE THE TWO PATHS</w:t>
      </w:r>
    </w:p>
    <w:tbl>
      <w:tblPr>
        <w:tblW w:w="1065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650"/>
        <w:gridCol w:w="3606"/>
      </w:tblGrid>
      <w:tr w:rsidR="00B72476" w:rsidRPr="00B72476" w14:paraId="1835109C" w14:textId="77777777" w:rsidTr="00431E07">
        <w:trPr>
          <w:trHeight w:val="380"/>
        </w:trPr>
        <w:tc>
          <w:tcPr>
            <w:tcW w:w="340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FD6E50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  <w:tc>
          <w:tcPr>
            <w:tcW w:w="365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7DB1EE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Path A: Additional headcount</w:t>
            </w:r>
          </w:p>
        </w:tc>
        <w:tc>
          <w:tcPr>
            <w:tcW w:w="3606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1FBA25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Path B: AI capacity</w:t>
            </w:r>
          </w:p>
        </w:tc>
      </w:tr>
      <w:tr w:rsidR="00B72476" w:rsidRPr="00B72476" w14:paraId="43B8D37A" w14:textId="77777777" w:rsidTr="00431E07">
        <w:trPr>
          <w:trHeight w:val="460"/>
        </w:trPr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CAEB31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Annual cost (fully loaded)</w:t>
            </w:r>
          </w:p>
        </w:tc>
        <w:tc>
          <w:tcPr>
            <w:tcW w:w="3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AD8B51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$</w:t>
            </w:r>
          </w:p>
        </w:tc>
        <w:tc>
          <w:tcPr>
            <w:tcW w:w="36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69E6F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$</w:t>
            </w:r>
          </w:p>
        </w:tc>
      </w:tr>
      <w:tr w:rsidR="00B72476" w:rsidRPr="00B72476" w14:paraId="045EF4AB" w14:textId="77777777" w:rsidTr="00431E07">
        <w:trPr>
          <w:trHeight w:val="460"/>
        </w:trPr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5D048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Time until productive</w:t>
            </w:r>
          </w:p>
        </w:tc>
        <w:tc>
          <w:tcPr>
            <w:tcW w:w="3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640F48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  <w:tc>
          <w:tcPr>
            <w:tcW w:w="36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AB0EAD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</w:tr>
      <w:tr w:rsidR="00B72476" w:rsidRPr="00B72476" w14:paraId="16EAD0AB" w14:textId="77777777" w:rsidTr="00431E07">
        <w:trPr>
          <w:trHeight w:val="560"/>
        </w:trPr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CF44D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Capacity added (</w:t>
            </w:r>
            <w:proofErr w:type="spellStart"/>
            <w:r w:rsidRPr="00B72476">
              <w:rPr>
                <w:rFonts w:ascii="Century Gothic" w:hAnsi="Century Gothic"/>
              </w:rPr>
              <w:t>hrs</w:t>
            </w:r>
            <w:proofErr w:type="spellEnd"/>
            <w:r w:rsidRPr="00B72476">
              <w:rPr>
                <w:rFonts w:ascii="Century Gothic" w:hAnsi="Century Gothic"/>
              </w:rPr>
              <w:t>/week or output)</w:t>
            </w:r>
          </w:p>
        </w:tc>
        <w:tc>
          <w:tcPr>
            <w:tcW w:w="3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94FFF2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  <w:tc>
          <w:tcPr>
            <w:tcW w:w="36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2BB5D0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</w:tr>
      <w:tr w:rsidR="00B72476" w:rsidRPr="00B72476" w14:paraId="0046FB58" w14:textId="77777777" w:rsidTr="00431E07">
        <w:trPr>
          <w:trHeight w:val="800"/>
        </w:trPr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3FD5F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What only THIS path can do</w:t>
            </w:r>
          </w:p>
        </w:tc>
        <w:tc>
          <w:tcPr>
            <w:tcW w:w="3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2C09C4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  <w:tc>
          <w:tcPr>
            <w:tcW w:w="36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F7F64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</w:tr>
      <w:tr w:rsidR="00B72476" w:rsidRPr="00B72476" w14:paraId="6DC654AC" w14:textId="77777777" w:rsidTr="00431E07">
        <w:trPr>
          <w:trHeight w:val="800"/>
        </w:trPr>
        <w:tc>
          <w:tcPr>
            <w:tcW w:w="3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25148B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  <w:r w:rsidRPr="00B72476">
              <w:rPr>
                <w:rFonts w:ascii="Century Gothic" w:hAnsi="Century Gothic"/>
              </w:rPr>
              <w:t>Key risks</w:t>
            </w:r>
          </w:p>
        </w:tc>
        <w:tc>
          <w:tcPr>
            <w:tcW w:w="36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91ED78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  <w:tc>
          <w:tcPr>
            <w:tcW w:w="36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4FD5B6" w14:textId="77777777" w:rsidR="00B72476" w:rsidRPr="00B72476" w:rsidRDefault="00B72476" w:rsidP="00431E07">
            <w:pPr>
              <w:rPr>
                <w:rFonts w:ascii="Century Gothic" w:hAnsi="Century Gothic"/>
              </w:rPr>
            </w:pPr>
          </w:p>
        </w:tc>
      </w:tr>
    </w:tbl>
    <w:p w14:paraId="6CAB351B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STEP 3 – DECIDE WITH BOTH LENSES</w:t>
      </w:r>
    </w:p>
    <w:p w14:paraId="7F2138ED" w14:textId="77777777" w:rsidR="00B72476" w:rsidRPr="00B72476" w:rsidRDefault="00B72476" w:rsidP="00B72476">
      <w:pPr>
        <w:pStyle w:val="ListParagraph"/>
        <w:numPr>
          <w:ilvl w:val="0"/>
          <w:numId w:val="1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Could AI capacity meet part of this need at lower cost? What part still requires a person — judgment, ownership, relationships?</w:t>
      </w:r>
    </w:p>
    <w:p w14:paraId="3891E07F" w14:textId="77777777" w:rsidR="00B72476" w:rsidRPr="00B72476" w:rsidRDefault="00B72476" w:rsidP="00B72476">
      <w:pPr>
        <w:pStyle w:val="ListParagraph"/>
        <w:numPr>
          <w:ilvl w:val="0"/>
          <w:numId w:val="1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 xml:space="preserve">If you </w:t>
      </w:r>
      <w:proofErr w:type="gramStart"/>
      <w:r w:rsidRPr="00B72476">
        <w:rPr>
          <w:rFonts w:ascii="Century Gothic" w:hAnsi="Century Gothic"/>
        </w:rPr>
        <w:t>funded</w:t>
      </w:r>
      <w:proofErr w:type="gramEnd"/>
      <w:r w:rsidRPr="00B72476">
        <w:rPr>
          <w:rFonts w:ascii="Century Gothic" w:hAnsi="Century Gothic"/>
        </w:rPr>
        <w:t xml:space="preserve"> Path B, what would you redirect the savings toward?</w:t>
      </w:r>
    </w:p>
    <w:p w14:paraId="4F5E407A" w14:textId="77777777" w:rsidR="00B72476" w:rsidRPr="00B72476" w:rsidRDefault="00B72476" w:rsidP="00B72476">
      <w:pPr>
        <w:pStyle w:val="ListParagraph"/>
        <w:numPr>
          <w:ilvl w:val="0"/>
          <w:numId w:val="1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Decision and rationale: _____________________________________________________________________________</w:t>
      </w:r>
    </w:p>
    <w:p w14:paraId="6DDC6814" w14:textId="77777777" w:rsidR="00B72476" w:rsidRPr="00B72476" w:rsidRDefault="00B72476" w:rsidP="00B72476">
      <w:pPr>
        <w:pStyle w:val="ListParagraph"/>
        <w:rPr>
          <w:rFonts w:ascii="Century Gothic" w:hAnsi="Century Gothic"/>
        </w:rPr>
      </w:pPr>
      <w:r w:rsidRPr="00B72476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91A65A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Add one line to your headcount request template: “Could AI capacity meet part of this need, and at what cost?” That single question changes budget behavior.</w:t>
      </w:r>
    </w:p>
    <w:p w14:paraId="5DA79180" w14:textId="77777777" w:rsidR="00B72476" w:rsidRPr="00B72476" w:rsidRDefault="00B72476" w:rsidP="00B72476">
      <w:pPr>
        <w:spacing w:after="0" w:line="240" w:lineRule="auto"/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  <w:r w:rsidRPr="00B72476"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  <w:br w:type="page"/>
      </w:r>
    </w:p>
    <w:p w14:paraId="0085CE4B" w14:textId="77777777" w:rsidR="00B72476" w:rsidRPr="00B72476" w:rsidRDefault="00B72476" w:rsidP="00B72476">
      <w:pPr>
        <w:pStyle w:val="Heading2"/>
        <w:rPr>
          <w:rFonts w:ascii="Century Gothic" w:eastAsia="Century Gothic" w:hAnsi="Century Gothic"/>
          <w:color w:val="852057"/>
          <w:sz w:val="18"/>
          <w:szCs w:val="18"/>
        </w:rPr>
      </w:pPr>
      <w:bookmarkStart w:id="1" w:name="_Toc241417102"/>
      <w:r w:rsidRPr="00B72476">
        <w:rPr>
          <w:rFonts w:ascii="Century Gothic" w:eastAsia="Century Gothic" w:hAnsi="Century Gothic"/>
          <w:color w:val="852057"/>
        </w:rPr>
        <w:lastRenderedPageBreak/>
        <w:t>Measure Capacity, Not Just Savings</w:t>
      </w:r>
      <w:bookmarkEnd w:id="1"/>
    </w:p>
    <w:p w14:paraId="2847D137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The wrong question is “How many jobs does AI replace?” The better question: “How much more can the same team do?” Pick 2–3 metrics per team and baseline them BEFORE you scale, you can't show a gain you never measured. Examples: tickets resolved per week, proposals sent per month, cycle time, output per FTE.</w:t>
      </w:r>
    </w:p>
    <w:p w14:paraId="6631E6C6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CAPACITY METRIC BASELINE</w:t>
      </w:r>
    </w:p>
    <w:tbl>
      <w:tblPr>
        <w:tblW w:w="10656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1950"/>
        <w:gridCol w:w="1350"/>
        <w:gridCol w:w="1950"/>
        <w:gridCol w:w="2306"/>
      </w:tblGrid>
      <w:tr w:rsidR="00B72476" w:rsidRPr="00B72476" w14:paraId="332116AE" w14:textId="77777777" w:rsidTr="00431E07">
        <w:trPr>
          <w:trHeight w:val="420"/>
        </w:trPr>
        <w:tc>
          <w:tcPr>
            <w:tcW w:w="310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6F1D53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Metric</w:t>
            </w:r>
          </w:p>
        </w:tc>
        <w:tc>
          <w:tcPr>
            <w:tcW w:w="195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C4BDC9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Team</w:t>
            </w:r>
          </w:p>
        </w:tc>
        <w:tc>
          <w:tcPr>
            <w:tcW w:w="135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1B08C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Unit</w:t>
            </w:r>
          </w:p>
        </w:tc>
        <w:tc>
          <w:tcPr>
            <w:tcW w:w="1950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CEAD51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Baseline (today)</w:t>
            </w:r>
          </w:p>
        </w:tc>
        <w:tc>
          <w:tcPr>
            <w:tcW w:w="2306" w:type="dxa"/>
            <w:shd w:val="clear" w:color="auto" w:fill="84205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DC010D" w14:textId="77777777" w:rsidR="00B72476" w:rsidRPr="00B72476" w:rsidRDefault="00B72476" w:rsidP="00431E07">
            <w:pP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B72476">
              <w:rPr>
                <w:rFonts w:ascii="Century Gothic" w:hAnsi="Century Gothic"/>
                <w:b/>
                <w:bCs/>
                <w:color w:val="FFFFFF" w:themeColor="background1"/>
              </w:rPr>
              <w:t>Est. monthly value ($)</w:t>
            </w:r>
          </w:p>
        </w:tc>
      </w:tr>
      <w:tr w:rsidR="00B72476" w:rsidRPr="00B72476" w14:paraId="4B37FBE3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FEB94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AD427D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DC9852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CC2C46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CB52E6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2322B87A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C709BF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CDB11E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107F60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F3578D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726F40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07ED86A1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0BEC14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6C60E2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CD789E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994047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43DFCD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12047EF0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528915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1C61D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FA3E6B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3980AF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AB669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2D0DEE81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677C8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AE0F25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87CFF6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420230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5A9B8B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2490AD3B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838E87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F8557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AB5291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8B572C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9C0C4C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  <w:tr w:rsidR="00B72476" w:rsidRPr="00B72476" w14:paraId="04C49D42" w14:textId="77777777" w:rsidTr="00431E07">
        <w:trPr>
          <w:trHeight w:val="440"/>
        </w:trPr>
        <w:tc>
          <w:tcPr>
            <w:tcW w:w="3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52804E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11224D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3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DC860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19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DCF400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  <w:tc>
          <w:tcPr>
            <w:tcW w:w="230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8977C6" w14:textId="77777777" w:rsidR="00B72476" w:rsidRPr="00B72476" w:rsidRDefault="00B72476" w:rsidP="00431E07">
            <w:pPr>
              <w:rPr>
                <w:rFonts w:ascii="Century Gothic" w:hAnsi="Century Gothic"/>
                <w:color w:val="3A3A3A"/>
                <w:sz w:val="18"/>
                <w:szCs w:val="18"/>
              </w:rPr>
            </w:pPr>
          </w:p>
        </w:tc>
      </w:tr>
    </w:tbl>
    <w:p w14:paraId="05D1948B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YOUR ENTERPRISE ROI SNAPSHOT</w:t>
      </w:r>
    </w:p>
    <w:p w14:paraId="543C4860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 xml:space="preserve">Once a quarter, put total </w:t>
      </w:r>
      <w:proofErr w:type="gramStart"/>
      <w:r w:rsidRPr="00B72476">
        <w:rPr>
          <w:rFonts w:ascii="Century Gothic" w:hAnsi="Century Gothic"/>
        </w:rPr>
        <w:t>AI spend</w:t>
      </w:r>
      <w:proofErr w:type="gramEnd"/>
      <w:r w:rsidRPr="00B72476">
        <w:rPr>
          <w:rFonts w:ascii="Century Gothic" w:hAnsi="Century Gothic"/>
        </w:rPr>
        <w:t xml:space="preserve"> beside total value on one page — with finance in the room.</w:t>
      </w:r>
    </w:p>
    <w:p w14:paraId="27B16757" w14:textId="77777777" w:rsidR="00B72476" w:rsidRPr="00B72476" w:rsidRDefault="00B72476" w:rsidP="00B72476">
      <w:pPr>
        <w:ind w:left="720"/>
        <w:rPr>
          <w:rFonts w:ascii="Century Gothic" w:hAnsi="Century Gothic"/>
        </w:rPr>
      </w:pPr>
      <w:r w:rsidRPr="00B72476">
        <w:rPr>
          <w:rFonts w:ascii="Century Gothic" w:hAnsi="Century Gothic"/>
        </w:rPr>
        <w:t>Total monthly AI spend (from your Visibility Audit): $ ______________</w:t>
      </w:r>
    </w:p>
    <w:p w14:paraId="5BD62DA0" w14:textId="77777777" w:rsidR="00B72476" w:rsidRPr="00B72476" w:rsidRDefault="00B72476" w:rsidP="00B72476">
      <w:pPr>
        <w:ind w:left="720"/>
        <w:rPr>
          <w:rFonts w:ascii="Century Gothic" w:hAnsi="Century Gothic"/>
        </w:rPr>
      </w:pPr>
      <w:r w:rsidRPr="00B72476">
        <w:rPr>
          <w:rFonts w:ascii="Century Gothic" w:hAnsi="Century Gothic"/>
        </w:rPr>
        <w:t>Total est. monthly value created (from the table above): $ ______________</w:t>
      </w:r>
    </w:p>
    <w:p w14:paraId="42A135BB" w14:textId="77777777" w:rsidR="00B72476" w:rsidRPr="00B72476" w:rsidRDefault="00B72476" w:rsidP="00B72476">
      <w:pPr>
        <w:ind w:left="720"/>
        <w:rPr>
          <w:rFonts w:ascii="Century Gothic" w:hAnsi="Century Gothic"/>
        </w:rPr>
      </w:pPr>
      <w:r w:rsidRPr="00B72476">
        <w:rPr>
          <w:rFonts w:ascii="Century Gothic" w:hAnsi="Century Gothic"/>
        </w:rPr>
        <w:t>Value-to-spend ratio (value ÷ spend</w:t>
      </w:r>
      <w:proofErr w:type="gramStart"/>
      <w:r w:rsidRPr="00B72476">
        <w:rPr>
          <w:rFonts w:ascii="Century Gothic" w:hAnsi="Century Gothic"/>
        </w:rPr>
        <w:t>): _</w:t>
      </w:r>
      <w:proofErr w:type="gramEnd"/>
      <w:r w:rsidRPr="00B72476">
        <w:rPr>
          <w:rFonts w:ascii="Century Gothic" w:hAnsi="Century Gothic"/>
        </w:rPr>
        <w:t>_________x</w:t>
      </w:r>
    </w:p>
    <w:p w14:paraId="3D972246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A ratio below 1.0x isn't automatically failure, early integration and training costs land before the capacity gains do. Watch the trend, not a single month.</w:t>
      </w:r>
    </w:p>
    <w:p w14:paraId="6A0A9B03" w14:textId="77777777" w:rsidR="00B72476" w:rsidRPr="00B72476" w:rsidRDefault="00B72476" w:rsidP="00B72476">
      <w:pPr>
        <w:spacing w:after="0" w:line="240" w:lineRule="auto"/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  <w:r w:rsidRPr="00B72476"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  <w:br w:type="page"/>
      </w:r>
    </w:p>
    <w:p w14:paraId="33E9BC26" w14:textId="77777777" w:rsidR="00B72476" w:rsidRPr="00B72476" w:rsidRDefault="00B72476" w:rsidP="00B72476">
      <w:pPr>
        <w:pStyle w:val="Heading2"/>
        <w:rPr>
          <w:rFonts w:ascii="Century Gothic" w:eastAsia="Century Gothic" w:hAnsi="Century Gothic"/>
          <w:color w:val="852057"/>
          <w:sz w:val="18"/>
          <w:szCs w:val="18"/>
        </w:rPr>
      </w:pPr>
      <w:bookmarkStart w:id="2" w:name="_Toc241417103"/>
      <w:r w:rsidRPr="00B72476">
        <w:rPr>
          <w:rFonts w:ascii="Century Gothic" w:eastAsia="Century Gothic" w:hAnsi="Century Gothic"/>
          <w:color w:val="852057"/>
        </w:rPr>
        <w:lastRenderedPageBreak/>
        <w:t>Your Next 90 Days</w:t>
      </w:r>
      <w:bookmarkEnd w:id="2"/>
    </w:p>
    <w:p w14:paraId="28E3D386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None of this requires new software, a spreadsheet, an owner, and a recurring meeting. The session's presentation materials include a ready-to-use AI Spend &amp; ROI reporting workbook (Excel) and a companion dashboard app you can adopt as-is.</w:t>
      </w:r>
    </w:p>
    <w:p w14:paraId="47368DBA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DAYS 1–30: GET VISIBILITY</w:t>
      </w:r>
    </w:p>
    <w:p w14:paraId="12E7EE71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Complete the AI Spend Visibility Audit — every tool, subscription, and API, including shadow AI.</w:t>
      </w:r>
    </w:p>
    <w:p w14:paraId="66B31EAB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Pull three months of actual spend into one sheet.</w:t>
      </w:r>
    </w:p>
    <w:p w14:paraId="00AC7A1D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Name a single owner for AI spend.</w:t>
      </w:r>
    </w:p>
    <w:p w14:paraId="73D564E7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DAYS 31–60: BUILD THE MODEL</w:t>
      </w:r>
    </w:p>
    <w:p w14:paraId="5C8CDEDD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Build the driver-based consumption model for your top 2–3 use cases.</w:t>
      </w:r>
    </w:p>
    <w:p w14:paraId="234EADB6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Set budget bands (contained / expected / accelerated) and spend alerts.</w:t>
      </w:r>
    </w:p>
    <w:p w14:paraId="1C6AE866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Baseline 2–3 capacity metrics per team.</w:t>
      </w:r>
    </w:p>
    <w:p w14:paraId="4C625D42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DAYS 61–90: MAKE IT A HABIT</w:t>
      </w:r>
    </w:p>
    <w:p w14:paraId="74A07C66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Stand up a monthly AI spend review with finance.</w:t>
      </w:r>
    </w:p>
    <w:p w14:paraId="4BD14393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Produce your first one-page enterprise ROI snapshot.</w:t>
      </w:r>
    </w:p>
    <w:p w14:paraId="361A353F" w14:textId="77777777" w:rsidR="00B72476" w:rsidRPr="00B72476" w:rsidRDefault="00B72476" w:rsidP="00B72476">
      <w:pPr>
        <w:pStyle w:val="ListParagraph"/>
        <w:numPr>
          <w:ilvl w:val="0"/>
          <w:numId w:val="2"/>
        </w:numPr>
        <w:spacing w:line="259" w:lineRule="auto"/>
        <w:rPr>
          <w:rFonts w:ascii="Century Gothic" w:hAnsi="Century Gothic"/>
        </w:rPr>
      </w:pPr>
      <w:r w:rsidRPr="00B72476">
        <w:rPr>
          <w:rFonts w:ascii="Century Gothic" w:hAnsi="Century Gothic"/>
        </w:rPr>
        <w:t>Feed the consumption model into your next budget cycle.</w:t>
      </w:r>
    </w:p>
    <w:p w14:paraId="2679795F" w14:textId="77777777" w:rsidR="00B72476" w:rsidRPr="00B72476" w:rsidRDefault="00B72476" w:rsidP="00B72476">
      <w:pPr>
        <w:spacing w:before="180" w:after="60" w:line="240" w:lineRule="auto"/>
        <w:rPr>
          <w:rStyle w:val="IntenseReference"/>
          <w:rFonts w:ascii="Century Gothic" w:hAnsi="Century Gothic"/>
          <w:color w:val="852057"/>
        </w:rPr>
      </w:pPr>
      <w:r w:rsidRPr="00B72476">
        <w:rPr>
          <w:rStyle w:val="IntenseReference"/>
          <w:rFonts w:ascii="Century Gothic" w:hAnsi="Century Gothic"/>
          <w:color w:val="852057"/>
        </w:rPr>
        <w:t>ONE QUESTION TO LEAVE WITH</w:t>
      </w:r>
    </w:p>
    <w:p w14:paraId="1D31EFEE" w14:textId="77777777" w:rsidR="00B72476" w:rsidRPr="00B72476" w:rsidRDefault="00B72476" w:rsidP="00B72476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What's one AI cost you can make visible this week?</w:t>
      </w:r>
    </w:p>
    <w:p w14:paraId="1FCE3CB4" w14:textId="77777777" w:rsidR="00B72476" w:rsidRPr="00B72476" w:rsidRDefault="00B72476" w:rsidP="00B72476">
      <w:pPr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  <w:r w:rsidRPr="00B72476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FB848E" w14:textId="77777777" w:rsidR="00B72476" w:rsidRPr="00B72476" w:rsidRDefault="00B72476" w:rsidP="00B72476">
      <w:pPr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  <w:r w:rsidRPr="00B72476"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  <w:br w:type="page"/>
      </w:r>
    </w:p>
    <w:p w14:paraId="41210711" w14:textId="77777777" w:rsidR="00CC564C" w:rsidRPr="00B72476" w:rsidRDefault="00CC564C" w:rsidP="004744FF">
      <w:pPr>
        <w:spacing w:after="0" w:line="240" w:lineRule="auto"/>
        <w:rPr>
          <w:rFonts w:ascii="Century Gothic" w:eastAsia="Century Gothic" w:hAnsi="Century Gothic" w:cs="Century Gothic"/>
          <w:color w:val="3A3A3A"/>
          <w:kern w:val="0"/>
          <w:sz w:val="18"/>
          <w:szCs w:val="18"/>
          <w14:ligatures w14:val="none"/>
        </w:rPr>
      </w:pPr>
    </w:p>
    <w:p w14:paraId="53CC0EF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6ED92A34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3A32E43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1AB5C5BF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42A1FA27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260B5AF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6F0A1456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56FEF0EC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394DC286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BF7DBE7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4169EF0C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E656E4D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46D4ECC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5ADBC15B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5605CAC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287AAF9A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3745E3B4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3C10B9B8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5937933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5E69D4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11ACF20E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423E0174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</w:p>
    <w:p w14:paraId="72787780" w14:textId="5FCAA4BE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  <w:r w:rsidRPr="00B72476">
        <w:rPr>
          <w:rFonts w:ascii="Century Gothic" w:hAnsi="Century Gothic"/>
          <w:b/>
          <w:bCs/>
          <w:color w:val="852057"/>
        </w:rPr>
        <w:t>About the Contributing Author</w:t>
      </w:r>
    </w:p>
    <w:p w14:paraId="128D6AAE" w14:textId="2C7F9CF6" w:rsidR="004744FF" w:rsidRPr="00B72476" w:rsidRDefault="004744FF" w:rsidP="004744FF">
      <w:pPr>
        <w:spacing w:after="0"/>
        <w:rPr>
          <w:rFonts w:ascii="Century Gothic" w:hAnsi="Century Gothic"/>
          <w:color w:val="3B4D59"/>
        </w:rPr>
      </w:pPr>
      <w:r w:rsidRPr="00B72476">
        <w:rPr>
          <w:rFonts w:ascii="Century Gothic" w:hAnsi="Century Gothic"/>
        </w:rPr>
        <w:t>Contributed by</w:t>
      </w:r>
      <w:r w:rsidRPr="00B72476">
        <w:rPr>
          <w:rFonts w:ascii="Century Gothic" w:hAnsi="Century Gothic"/>
          <w:b/>
          <w:bCs/>
        </w:rPr>
        <w:t xml:space="preserve"> </w:t>
      </w:r>
      <w:hyperlink r:id="rId7" w:history="1">
        <w:r w:rsidRPr="00413A1A">
          <w:rPr>
            <w:rStyle w:val="Hyperlink"/>
            <w:rFonts w:ascii="Century Gothic" w:hAnsi="Century Gothic"/>
            <w:color w:val="852057"/>
          </w:rPr>
          <w:t>Laurie Carey</w:t>
        </w:r>
      </w:hyperlink>
      <w:r w:rsidRPr="00B72476">
        <w:rPr>
          <w:rFonts w:ascii="Century Gothic" w:hAnsi="Century Gothic"/>
        </w:rPr>
        <w:t xml:space="preserve">, Founder &amp; CEO of Nebula Academy for </w:t>
      </w:r>
      <w:proofErr w:type="spellStart"/>
      <w:r w:rsidRPr="00B72476">
        <w:rPr>
          <w:rFonts w:ascii="Century Gothic" w:hAnsi="Century Gothic"/>
        </w:rPr>
        <w:t>Logically’s</w:t>
      </w:r>
      <w:proofErr w:type="spellEnd"/>
      <w:r w:rsidRPr="00B72476">
        <w:rPr>
          <w:rFonts w:ascii="Century Gothic" w:hAnsi="Century Gothic"/>
        </w:rPr>
        <w:t xml:space="preserve"> cybersecurity summit, LogicON. </w:t>
      </w:r>
    </w:p>
    <w:p w14:paraId="56424E61" w14:textId="77777777" w:rsidR="004744FF" w:rsidRPr="00B72476" w:rsidRDefault="004744FF" w:rsidP="004744FF">
      <w:pPr>
        <w:rPr>
          <w:rFonts w:ascii="Century Gothic" w:hAnsi="Century Gothic"/>
          <w:b/>
          <w:bCs/>
          <w:color w:val="852057"/>
        </w:rPr>
      </w:pPr>
      <w:r w:rsidRPr="00B72476">
        <w:rPr>
          <w:rFonts w:ascii="Century Gothic" w:hAnsi="Century Gothic"/>
          <w:b/>
          <w:bCs/>
          <w:color w:val="3B4D59"/>
        </w:rPr>
        <w:br/>
      </w:r>
      <w:r w:rsidRPr="00B72476">
        <w:rPr>
          <w:rFonts w:ascii="Century Gothic" w:hAnsi="Century Gothic"/>
          <w:b/>
          <w:bCs/>
          <w:color w:val="852057"/>
        </w:rPr>
        <w:t>About Logically</w:t>
      </w:r>
    </w:p>
    <w:p w14:paraId="48C5CFC8" w14:textId="77777777" w:rsidR="004744FF" w:rsidRPr="00B72476" w:rsidRDefault="004744FF" w:rsidP="004744FF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03807796" w14:textId="4A4BE9C8" w:rsidR="004744FF" w:rsidRPr="00B72476" w:rsidRDefault="004744FF" w:rsidP="004744FF">
      <w:pPr>
        <w:rPr>
          <w:rFonts w:ascii="Century Gothic" w:hAnsi="Century Gothic"/>
        </w:rPr>
      </w:pPr>
      <w:r w:rsidRPr="00B72476">
        <w:rPr>
          <w:rFonts w:ascii="Century Gothic" w:hAnsi="Century Gothic"/>
        </w:rPr>
        <w:t xml:space="preserve">Visit </w:t>
      </w:r>
      <w:hyperlink r:id="rId8" w:history="1">
        <w:r w:rsidRPr="00B72476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B72476">
        <w:rPr>
          <w:rFonts w:ascii="Century Gothic" w:hAnsi="Century Gothic"/>
        </w:rPr>
        <w:t xml:space="preserve"> to learn more.</w:t>
      </w:r>
    </w:p>
    <w:sectPr w:rsidR="004744FF" w:rsidRPr="00B72476" w:rsidSect="004744FF"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8797" w14:textId="77777777" w:rsidR="00C24EB1" w:rsidRDefault="00C24EB1" w:rsidP="004744FF">
      <w:pPr>
        <w:spacing w:after="0" w:line="240" w:lineRule="auto"/>
      </w:pPr>
      <w:r>
        <w:separator/>
      </w:r>
    </w:p>
  </w:endnote>
  <w:endnote w:type="continuationSeparator" w:id="0">
    <w:p w14:paraId="715F0B66" w14:textId="77777777" w:rsidR="00C24EB1" w:rsidRDefault="00C24EB1" w:rsidP="00474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616A" w14:textId="31147EEE" w:rsidR="004744FF" w:rsidRDefault="004744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365A" w14:textId="6E5C34E6" w:rsidR="004744FF" w:rsidRDefault="004744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054B" w14:textId="6A57D372" w:rsidR="004744FF" w:rsidRDefault="004744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B1AF" w14:textId="77777777" w:rsidR="00C24EB1" w:rsidRDefault="00C24EB1" w:rsidP="004744FF">
      <w:pPr>
        <w:spacing w:after="0" w:line="240" w:lineRule="auto"/>
      </w:pPr>
      <w:r>
        <w:separator/>
      </w:r>
    </w:p>
  </w:footnote>
  <w:footnote w:type="continuationSeparator" w:id="0">
    <w:p w14:paraId="705D00EC" w14:textId="77777777" w:rsidR="00C24EB1" w:rsidRDefault="00C24EB1" w:rsidP="00474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8BFB" w14:textId="07EA39B8" w:rsidR="004744FF" w:rsidRDefault="004744FF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FB50210" wp14:editId="2C691A53">
          <wp:simplePos x="0" y="0"/>
          <wp:positionH relativeFrom="column">
            <wp:posOffset>5450032</wp:posOffset>
          </wp:positionH>
          <wp:positionV relativeFrom="paragraph">
            <wp:posOffset>41910</wp:posOffset>
          </wp:positionV>
          <wp:extent cx="1478821" cy="312742"/>
          <wp:effectExtent l="0" t="0" r="0" b="0"/>
          <wp:wrapThrough wrapText="bothSides">
            <wp:wrapPolygon edited="0">
              <wp:start x="278" y="0"/>
              <wp:lineTo x="278" y="15805"/>
              <wp:lineTo x="1113" y="17122"/>
              <wp:lineTo x="15031" y="19756"/>
              <wp:lineTo x="20876" y="19756"/>
              <wp:lineTo x="20876" y="0"/>
              <wp:lineTo x="278" y="0"/>
            </wp:wrapPolygon>
          </wp:wrapThrough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E058E1" wp14:editId="30175D6D">
              <wp:simplePos x="0" y="0"/>
              <wp:positionH relativeFrom="column">
                <wp:posOffset>-452535</wp:posOffset>
              </wp:positionH>
              <wp:positionV relativeFrom="paragraph">
                <wp:posOffset>-461865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B6342E" id="Rectangle 7" o:spid="_x0000_s1026" style="position:absolute;margin-left:-35.65pt;margin-top:-36.35pt;width:612.05pt;height:2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B3&#10;4s4U4AAAAAwBAAAPAAAAAAAAAAAAAAAAANoEAABkcnMvZG93bnJldi54bWxQSwUGAAAAAAQABADz&#10;AAAA5wUAAAAA&#10;" fillcolor="#852057" stroked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707"/>
    <w:multiLevelType w:val="hybridMultilevel"/>
    <w:tmpl w:val="69F8C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9580D"/>
    <w:multiLevelType w:val="hybridMultilevel"/>
    <w:tmpl w:val="7248ADAA"/>
    <w:lvl w:ilvl="0" w:tplc="BD7487A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85641">
    <w:abstractNumId w:val="0"/>
  </w:num>
  <w:num w:numId="2" w16cid:durableId="798958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FF"/>
    <w:rsid w:val="00072202"/>
    <w:rsid w:val="00164753"/>
    <w:rsid w:val="00413A1A"/>
    <w:rsid w:val="004744FF"/>
    <w:rsid w:val="004C38A0"/>
    <w:rsid w:val="00554751"/>
    <w:rsid w:val="006A4C1B"/>
    <w:rsid w:val="00990E45"/>
    <w:rsid w:val="009C7C23"/>
    <w:rsid w:val="009D25A1"/>
    <w:rsid w:val="00B25D9D"/>
    <w:rsid w:val="00B557EA"/>
    <w:rsid w:val="00B72476"/>
    <w:rsid w:val="00C24EB1"/>
    <w:rsid w:val="00CC564C"/>
    <w:rsid w:val="00E3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8092B"/>
  <w15:chartTrackingRefBased/>
  <w15:docId w15:val="{08E4C215-9502-4784-961A-EBDA4678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4FF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4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4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4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4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4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4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4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4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4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4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4F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4F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744FF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4744F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74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4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74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4F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74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4FF"/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4744FF"/>
    <w:rPr>
      <w:rFonts w:ascii="Century Gothic" w:hAnsi="Century Gothic"/>
      <w:i/>
      <w:iCs/>
      <w:color w:val="404040"/>
      <w:sz w:val="20"/>
    </w:rPr>
  </w:style>
  <w:style w:type="character" w:styleId="Hyperlink">
    <w:name w:val="Hyperlink"/>
    <w:basedOn w:val="DefaultParagraphFont"/>
    <w:uiPriority w:val="99"/>
    <w:unhideWhenUsed/>
    <w:rsid w:val="004744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ically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lauriecarey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710</Words>
  <Characters>3760</Characters>
  <Application>Microsoft Office Word</Application>
  <DocSecurity>0</DocSecurity>
  <Lines>188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Jen Pricci</cp:lastModifiedBy>
  <cp:revision>5</cp:revision>
  <dcterms:created xsi:type="dcterms:W3CDTF">2026-10-20T20:21:00Z</dcterms:created>
  <dcterms:modified xsi:type="dcterms:W3CDTF">2026-10-23T15:13:00Z</dcterms:modified>
</cp:coreProperties>
</file>