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EEECD" w14:textId="77777777" w:rsidR="00755F9D" w:rsidRPr="00496C9F" w:rsidRDefault="00755F9D" w:rsidP="00755F9D">
      <w:pPr>
        <w:pStyle w:val="Heading1"/>
        <w:rPr>
          <w:rFonts w:ascii="Century Gothic" w:hAnsi="Century Gothic"/>
          <w:color w:val="852057"/>
        </w:rPr>
      </w:pPr>
      <w:bookmarkStart w:id="0" w:name="_Toc241417122"/>
      <w:r w:rsidRPr="00496C9F">
        <w:rPr>
          <w:rFonts w:ascii="Century Gothic" w:hAnsi="Century Gothic"/>
          <w:color w:val="852057"/>
        </w:rPr>
        <w:t>Zero Trust Adoption: Project Charter Template</w:t>
      </w:r>
      <w:bookmarkEnd w:id="0"/>
    </w:p>
    <w:p w14:paraId="3B0C1799" w14:textId="77777777" w:rsidR="00755F9D" w:rsidRPr="00496C9F" w:rsidRDefault="00755F9D" w:rsidP="00755F9D">
      <w:pPr>
        <w:rPr>
          <w:rFonts w:ascii="Century Gothic" w:hAnsi="Century Gothic"/>
          <w:i/>
          <w:iCs/>
        </w:rPr>
      </w:pPr>
      <w:r w:rsidRPr="00496C9F">
        <w:rPr>
          <w:rFonts w:ascii="Century Gothic" w:hAnsi="Century Gothic"/>
          <w:i/>
          <w:iCs/>
        </w:rPr>
        <w:t>A phased, five-stage plan for moving from network-perimeter security to an identity-centered Zero Trust architecture — without a rip-and-replace.</w:t>
      </w:r>
    </w:p>
    <w:p w14:paraId="59F21C6D" w14:textId="77777777" w:rsidR="00755F9D" w:rsidRPr="00496C9F" w:rsidRDefault="00755F9D" w:rsidP="00755F9D">
      <w:pPr>
        <w:rPr>
          <w:rFonts w:ascii="Century Gothic" w:hAnsi="Century Gothic"/>
        </w:rPr>
      </w:pPr>
      <w:r w:rsidRPr="00496C9F">
        <w:rPr>
          <w:rFonts w:ascii="Century Gothic" w:hAnsi="Century Gothic"/>
          <w:b/>
          <w:bCs/>
        </w:rPr>
        <w:t>Project Information</w:t>
      </w:r>
    </w:p>
    <w:tbl>
      <w:tblPr>
        <w:tblW w:w="5017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D9D9D9"/>
          <w:insideV w:val="single" w:sz="4" w:space="0" w:color="D9D9D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8"/>
        <w:gridCol w:w="7579"/>
      </w:tblGrid>
      <w:tr w:rsidR="00755F9D" w:rsidRPr="00496C9F" w14:paraId="29F7377D" w14:textId="77777777" w:rsidTr="00755F9D">
        <w:trPr>
          <w:trHeight w:val="337"/>
        </w:trPr>
        <w:tc>
          <w:tcPr>
            <w:tcW w:w="1500" w:type="pct"/>
            <w:tcBorders>
              <w:top w:val="single" w:sz="4" w:space="0" w:color="BFBFBF"/>
              <w:bottom w:val="single" w:sz="4" w:space="0" w:color="D9D9D9"/>
            </w:tcBorders>
            <w:shd w:val="clear" w:color="auto" w:fill="F1C7DE"/>
            <w:tcMar>
              <w:top w:w="100" w:type="dxa"/>
              <w:left w:w="140" w:type="dxa"/>
              <w:bottom w:w="100" w:type="dxa"/>
              <w:right w:w="120" w:type="dxa"/>
            </w:tcMar>
            <w:vAlign w:val="center"/>
          </w:tcPr>
          <w:p w14:paraId="38396541" w14:textId="77777777" w:rsidR="00755F9D" w:rsidRPr="00496C9F" w:rsidRDefault="00755F9D" w:rsidP="00BB2D44">
            <w:pPr>
              <w:spacing w:after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>Project Name</w:t>
            </w:r>
          </w:p>
        </w:tc>
        <w:tc>
          <w:tcPr>
            <w:tcW w:w="3500" w:type="pct"/>
            <w:tcMar>
              <w:top w:w="100" w:type="dxa"/>
              <w:left w:w="140" w:type="dxa"/>
              <w:bottom w:w="100" w:type="dxa"/>
              <w:right w:w="120" w:type="dxa"/>
            </w:tcMar>
            <w:vAlign w:val="center"/>
          </w:tcPr>
          <w:p w14:paraId="0CEE386C" w14:textId="77777777" w:rsidR="00755F9D" w:rsidRPr="00496C9F" w:rsidRDefault="00755F9D" w:rsidP="00BB2D44">
            <w:pPr>
              <w:spacing w:after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i/>
                <w:iCs/>
              </w:rPr>
              <w:t xml:space="preserve">Zero Trust Adoption </w:t>
            </w:r>
            <w:proofErr w:type="gramStart"/>
            <w:r w:rsidRPr="00496C9F">
              <w:rPr>
                <w:rFonts w:ascii="Century Gothic" w:hAnsi="Century Gothic"/>
                <w:i/>
                <w:iCs/>
              </w:rPr>
              <w:t>Program — [</w:t>
            </w:r>
            <w:proofErr w:type="gramEnd"/>
            <w:r w:rsidRPr="00496C9F">
              <w:rPr>
                <w:rFonts w:ascii="Century Gothic" w:hAnsi="Century Gothic"/>
                <w:i/>
                <w:iCs/>
              </w:rPr>
              <w:t>Company Name]</w:t>
            </w:r>
          </w:p>
        </w:tc>
      </w:tr>
      <w:tr w:rsidR="00755F9D" w:rsidRPr="00496C9F" w14:paraId="2C101870" w14:textId="77777777" w:rsidTr="00755F9D">
        <w:trPr>
          <w:trHeight w:val="362"/>
        </w:trPr>
        <w:tc>
          <w:tcPr>
            <w:tcW w:w="1500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F1C7DE"/>
            <w:tcMar>
              <w:top w:w="100" w:type="dxa"/>
              <w:left w:w="140" w:type="dxa"/>
              <w:bottom w:w="100" w:type="dxa"/>
              <w:right w:w="120" w:type="dxa"/>
            </w:tcMar>
            <w:vAlign w:val="center"/>
          </w:tcPr>
          <w:p w14:paraId="0C188F5B" w14:textId="77777777" w:rsidR="00755F9D" w:rsidRPr="00496C9F" w:rsidRDefault="00755F9D" w:rsidP="00BB2D44">
            <w:pPr>
              <w:spacing w:after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>Executive Sponsor</w:t>
            </w:r>
          </w:p>
        </w:tc>
        <w:tc>
          <w:tcPr>
            <w:tcW w:w="3500" w:type="pct"/>
            <w:tcMar>
              <w:top w:w="100" w:type="dxa"/>
              <w:left w:w="140" w:type="dxa"/>
              <w:bottom w:w="100" w:type="dxa"/>
              <w:right w:w="120" w:type="dxa"/>
            </w:tcMar>
            <w:vAlign w:val="center"/>
          </w:tcPr>
          <w:p w14:paraId="25403A7A" w14:textId="77777777" w:rsidR="00755F9D" w:rsidRPr="00496C9F" w:rsidRDefault="00755F9D" w:rsidP="00BB2D44">
            <w:pPr>
              <w:spacing w:after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i/>
                <w:iCs/>
              </w:rPr>
              <w:t>[Name, Title]</w:t>
            </w:r>
          </w:p>
        </w:tc>
      </w:tr>
      <w:tr w:rsidR="00755F9D" w:rsidRPr="00496C9F" w14:paraId="00BD5D62" w14:textId="77777777" w:rsidTr="00755F9D">
        <w:trPr>
          <w:trHeight w:val="337"/>
        </w:trPr>
        <w:tc>
          <w:tcPr>
            <w:tcW w:w="1500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F1C7DE"/>
            <w:tcMar>
              <w:top w:w="100" w:type="dxa"/>
              <w:left w:w="140" w:type="dxa"/>
              <w:bottom w:w="100" w:type="dxa"/>
              <w:right w:w="120" w:type="dxa"/>
            </w:tcMar>
            <w:vAlign w:val="center"/>
          </w:tcPr>
          <w:p w14:paraId="00864A6C" w14:textId="77777777" w:rsidR="00755F9D" w:rsidRPr="00496C9F" w:rsidRDefault="00755F9D" w:rsidP="00BB2D44">
            <w:pPr>
              <w:spacing w:after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>Program Lead</w:t>
            </w:r>
          </w:p>
        </w:tc>
        <w:tc>
          <w:tcPr>
            <w:tcW w:w="3500" w:type="pct"/>
            <w:tcMar>
              <w:top w:w="100" w:type="dxa"/>
              <w:left w:w="140" w:type="dxa"/>
              <w:bottom w:w="100" w:type="dxa"/>
              <w:right w:w="120" w:type="dxa"/>
            </w:tcMar>
            <w:vAlign w:val="center"/>
          </w:tcPr>
          <w:p w14:paraId="3AE1BA85" w14:textId="77777777" w:rsidR="00755F9D" w:rsidRPr="00496C9F" w:rsidRDefault="00755F9D" w:rsidP="00BB2D44">
            <w:pPr>
              <w:spacing w:after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i/>
                <w:iCs/>
              </w:rPr>
              <w:t>[Name, Title]</w:t>
            </w:r>
          </w:p>
        </w:tc>
      </w:tr>
      <w:tr w:rsidR="00755F9D" w:rsidRPr="00496C9F" w14:paraId="6D2E0BFC" w14:textId="77777777" w:rsidTr="00755F9D">
        <w:trPr>
          <w:trHeight w:val="362"/>
        </w:trPr>
        <w:tc>
          <w:tcPr>
            <w:tcW w:w="1500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F1C7DE"/>
            <w:tcMar>
              <w:top w:w="100" w:type="dxa"/>
              <w:left w:w="140" w:type="dxa"/>
              <w:bottom w:w="100" w:type="dxa"/>
              <w:right w:w="120" w:type="dxa"/>
            </w:tcMar>
            <w:vAlign w:val="center"/>
          </w:tcPr>
          <w:p w14:paraId="7BB4281A" w14:textId="77777777" w:rsidR="00755F9D" w:rsidRPr="00496C9F" w:rsidRDefault="00755F9D" w:rsidP="00BB2D44">
            <w:pPr>
              <w:spacing w:after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>Date Created / Version</w:t>
            </w:r>
          </w:p>
        </w:tc>
        <w:tc>
          <w:tcPr>
            <w:tcW w:w="3500" w:type="pct"/>
            <w:tcMar>
              <w:top w:w="100" w:type="dxa"/>
              <w:left w:w="140" w:type="dxa"/>
              <w:bottom w:w="100" w:type="dxa"/>
              <w:right w:w="120" w:type="dxa"/>
            </w:tcMar>
            <w:vAlign w:val="center"/>
          </w:tcPr>
          <w:p w14:paraId="497373CB" w14:textId="77777777" w:rsidR="00755F9D" w:rsidRPr="00496C9F" w:rsidRDefault="00755F9D" w:rsidP="00BB2D44">
            <w:pPr>
              <w:spacing w:after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i/>
                <w:iCs/>
              </w:rPr>
              <w:t>[</w:t>
            </w:r>
            <w:proofErr w:type="gramStart"/>
            <w:r w:rsidRPr="00496C9F">
              <w:rPr>
                <w:rFonts w:ascii="Century Gothic" w:hAnsi="Century Gothic"/>
                <w:i/>
                <w:iCs/>
              </w:rPr>
              <w:t>Date]  ·</w:t>
            </w:r>
            <w:proofErr w:type="gramEnd"/>
            <w:r w:rsidRPr="00496C9F">
              <w:rPr>
                <w:rFonts w:ascii="Century Gothic" w:hAnsi="Century Gothic"/>
                <w:i/>
                <w:iCs/>
              </w:rPr>
              <w:t xml:space="preserve">  </w:t>
            </w:r>
            <w:proofErr w:type="gramStart"/>
            <w:r w:rsidRPr="00496C9F">
              <w:rPr>
                <w:rFonts w:ascii="Century Gothic" w:hAnsi="Century Gothic"/>
                <w:i/>
                <w:iCs/>
              </w:rPr>
              <w:t>v[</w:t>
            </w:r>
            <w:proofErr w:type="gramEnd"/>
            <w:r w:rsidRPr="00496C9F">
              <w:rPr>
                <w:rFonts w:ascii="Century Gothic" w:hAnsi="Century Gothic"/>
                <w:i/>
                <w:iCs/>
              </w:rPr>
              <w:t>0.1]</w:t>
            </w:r>
          </w:p>
        </w:tc>
      </w:tr>
      <w:tr w:rsidR="00755F9D" w:rsidRPr="00496C9F" w14:paraId="3F2DE8A6" w14:textId="77777777" w:rsidTr="00755F9D">
        <w:trPr>
          <w:trHeight w:val="337"/>
        </w:trPr>
        <w:tc>
          <w:tcPr>
            <w:tcW w:w="1500" w:type="pct"/>
            <w:tcBorders>
              <w:top w:val="single" w:sz="4" w:space="0" w:color="D9D9D9"/>
              <w:bottom w:val="single" w:sz="4" w:space="0" w:color="D9D9D9"/>
            </w:tcBorders>
            <w:shd w:val="clear" w:color="auto" w:fill="F1C7DE"/>
            <w:tcMar>
              <w:top w:w="100" w:type="dxa"/>
              <w:left w:w="140" w:type="dxa"/>
              <w:bottom w:w="100" w:type="dxa"/>
              <w:right w:w="120" w:type="dxa"/>
            </w:tcMar>
            <w:vAlign w:val="center"/>
          </w:tcPr>
          <w:p w14:paraId="1A8EA934" w14:textId="77777777" w:rsidR="00755F9D" w:rsidRPr="00496C9F" w:rsidRDefault="00755F9D" w:rsidP="00BB2D44">
            <w:pPr>
              <w:spacing w:after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>Charter Status</w:t>
            </w:r>
          </w:p>
        </w:tc>
        <w:tc>
          <w:tcPr>
            <w:tcW w:w="3500" w:type="pct"/>
            <w:tcMar>
              <w:top w:w="100" w:type="dxa"/>
              <w:left w:w="140" w:type="dxa"/>
              <w:bottom w:w="100" w:type="dxa"/>
              <w:right w:w="120" w:type="dxa"/>
            </w:tcMar>
            <w:vAlign w:val="center"/>
          </w:tcPr>
          <w:p w14:paraId="6DFDDDAB" w14:textId="77777777" w:rsidR="00755F9D" w:rsidRPr="00496C9F" w:rsidRDefault="00755F9D" w:rsidP="00BB2D44">
            <w:pPr>
              <w:spacing w:after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i/>
                <w:iCs/>
              </w:rPr>
              <w:t>[Draft / Under Review / Approved]</w:t>
            </w:r>
          </w:p>
        </w:tc>
      </w:tr>
      <w:tr w:rsidR="00755F9D" w:rsidRPr="00496C9F" w14:paraId="62A2A42D" w14:textId="77777777" w:rsidTr="00755F9D">
        <w:trPr>
          <w:trHeight w:val="675"/>
        </w:trPr>
        <w:tc>
          <w:tcPr>
            <w:tcW w:w="1500" w:type="pct"/>
            <w:tcBorders>
              <w:top w:val="single" w:sz="4" w:space="0" w:color="D9D9D9"/>
              <w:bottom w:val="single" w:sz="4" w:space="0" w:color="BFBFBF"/>
            </w:tcBorders>
            <w:shd w:val="clear" w:color="auto" w:fill="F1C7DE"/>
            <w:tcMar>
              <w:top w:w="100" w:type="dxa"/>
              <w:left w:w="140" w:type="dxa"/>
              <w:bottom w:w="100" w:type="dxa"/>
              <w:right w:w="120" w:type="dxa"/>
            </w:tcMar>
            <w:vAlign w:val="center"/>
          </w:tcPr>
          <w:p w14:paraId="5F430823" w14:textId="77777777" w:rsidR="00755F9D" w:rsidRPr="00496C9F" w:rsidRDefault="00755F9D" w:rsidP="00BB2D44">
            <w:pPr>
              <w:spacing w:after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>Related Materials</w:t>
            </w:r>
          </w:p>
        </w:tc>
        <w:tc>
          <w:tcPr>
            <w:tcW w:w="3500" w:type="pct"/>
            <w:tcMar>
              <w:top w:w="100" w:type="dxa"/>
              <w:left w:w="140" w:type="dxa"/>
              <w:bottom w:w="100" w:type="dxa"/>
              <w:right w:w="120" w:type="dxa"/>
            </w:tcMar>
            <w:vAlign w:val="center"/>
          </w:tcPr>
          <w:p w14:paraId="299C0CC5" w14:textId="77777777" w:rsidR="00755F9D" w:rsidRPr="00496C9F" w:rsidRDefault="00755F9D" w:rsidP="00BB2D44">
            <w:pPr>
              <w:spacing w:after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i/>
                <w:iCs/>
              </w:rPr>
              <w:t>[Link to maturity assessment, stakeholder talking guide, budget request, etc.]</w:t>
            </w:r>
          </w:p>
        </w:tc>
      </w:tr>
    </w:tbl>
    <w:p w14:paraId="14813E8C" w14:textId="77777777" w:rsidR="00755F9D" w:rsidRPr="00496C9F" w:rsidRDefault="00755F9D" w:rsidP="00755F9D">
      <w:pPr>
        <w:rPr>
          <w:rFonts w:ascii="Century Gothic" w:hAnsi="Century Gothic"/>
        </w:rPr>
      </w:pPr>
    </w:p>
    <w:p w14:paraId="3D493F6D" w14:textId="77777777" w:rsidR="00755F9D" w:rsidRPr="00496C9F" w:rsidRDefault="00755F9D" w:rsidP="00755F9D">
      <w:pPr>
        <w:rPr>
          <w:rStyle w:val="IntenseReference"/>
          <w:rFonts w:ascii="Century Gothic" w:hAnsi="Century Gothic"/>
          <w:color w:val="852057"/>
        </w:rPr>
      </w:pPr>
      <w:r w:rsidRPr="00496C9F">
        <w:rPr>
          <w:rStyle w:val="IntenseReference"/>
          <w:rFonts w:ascii="Century Gothic" w:hAnsi="Century Gothic"/>
          <w:color w:val="852057"/>
        </w:rPr>
        <w:t>1. Purpose &amp; Business Case</w:t>
      </w:r>
    </w:p>
    <w:p w14:paraId="3E1305C6" w14:textId="77777777" w:rsidR="00755F9D" w:rsidRPr="00496C9F" w:rsidRDefault="00755F9D" w:rsidP="00755F9D">
      <w:pPr>
        <w:rPr>
          <w:rFonts w:ascii="Century Gothic" w:hAnsi="Century Gothic"/>
        </w:rPr>
      </w:pPr>
      <w:r w:rsidRPr="00496C9F">
        <w:rPr>
          <w:rFonts w:ascii="Century Gothic" w:hAnsi="Century Gothic"/>
          <w:i/>
          <w:iCs/>
        </w:rPr>
        <w:t>[Explain, in 2–4 sentences, why this program is being chartered now — e.g. a recent incident, an audit or cyber-insurance requirement, rising identity-based attacks, or a strategic push to reduce risk from hybrid work and third-party access. Reference any supporting data (breach trends, audit findings, board direction) here.]</w:t>
      </w:r>
    </w:p>
    <w:p w14:paraId="7AD15A36" w14:textId="77777777" w:rsidR="00755F9D" w:rsidRPr="00496C9F" w:rsidRDefault="00755F9D" w:rsidP="00755F9D">
      <w:pPr>
        <w:rPr>
          <w:rStyle w:val="IntenseReference"/>
          <w:rFonts w:ascii="Century Gothic" w:hAnsi="Century Gothic"/>
          <w:color w:val="852057"/>
        </w:rPr>
      </w:pPr>
      <w:r w:rsidRPr="00496C9F">
        <w:rPr>
          <w:rStyle w:val="IntenseReference"/>
          <w:rFonts w:ascii="Century Gothic" w:hAnsi="Century Gothic"/>
          <w:color w:val="852057"/>
        </w:rPr>
        <w:t>2. Objectives &amp; Success Measures</w:t>
      </w:r>
    </w:p>
    <w:p w14:paraId="4C7ECF4A" w14:textId="77777777" w:rsidR="00755F9D" w:rsidRPr="00496C9F" w:rsidRDefault="00755F9D" w:rsidP="00755F9D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496C9F">
        <w:rPr>
          <w:rFonts w:ascii="Century Gothic" w:hAnsi="Century Gothic"/>
          <w:i/>
          <w:iCs/>
        </w:rPr>
        <w:t>[Objective 1 — e.g. Reduce risk of credential-based breaches by extending phishing-resistant MFA to all privileged and remote users within Phase 1.]</w:t>
      </w:r>
    </w:p>
    <w:p w14:paraId="37E32585" w14:textId="77777777" w:rsidR="00755F9D" w:rsidRPr="00496C9F" w:rsidRDefault="00755F9D" w:rsidP="00755F9D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496C9F">
        <w:rPr>
          <w:rFonts w:ascii="Century Gothic" w:hAnsi="Century Gothic"/>
          <w:i/>
          <w:iCs/>
        </w:rPr>
        <w:t>[Objective 2 — e.g. Eliminate flat VPN access to the top 3 highest-risk applications by end of Phase 3.]</w:t>
      </w:r>
    </w:p>
    <w:p w14:paraId="20233EC7" w14:textId="77777777" w:rsidR="00755F9D" w:rsidRPr="00496C9F" w:rsidRDefault="00755F9D" w:rsidP="00755F9D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496C9F">
        <w:rPr>
          <w:rFonts w:ascii="Century Gothic" w:hAnsi="Century Gothic"/>
          <w:i/>
          <w:iCs/>
        </w:rPr>
        <w:t>[Add measurable objectives specific to your organization — tie each to a phase where possible.]</w:t>
      </w:r>
    </w:p>
    <w:p w14:paraId="032C1B82" w14:textId="77777777" w:rsidR="00755F9D" w:rsidRPr="00496C9F" w:rsidRDefault="00755F9D" w:rsidP="00755F9D">
      <w:pPr>
        <w:rPr>
          <w:rStyle w:val="IntenseReference"/>
          <w:rFonts w:ascii="Century Gothic" w:hAnsi="Century Gothic"/>
          <w:color w:val="852057"/>
        </w:rPr>
      </w:pPr>
      <w:r w:rsidRPr="00496C9F">
        <w:rPr>
          <w:rStyle w:val="IntenseReference"/>
          <w:rFonts w:ascii="Century Gothic" w:hAnsi="Century Gothic"/>
          <w:color w:val="852057"/>
        </w:rPr>
        <w:t>3. Scope</w:t>
      </w:r>
    </w:p>
    <w:p w14:paraId="4E27FB14" w14:textId="77777777" w:rsidR="00755F9D" w:rsidRPr="00496C9F" w:rsidRDefault="00755F9D" w:rsidP="00755F9D">
      <w:pPr>
        <w:rPr>
          <w:rFonts w:ascii="Century Gothic" w:hAnsi="Century Gothic"/>
        </w:rPr>
      </w:pPr>
      <w:r w:rsidRPr="00496C9F">
        <w:rPr>
          <w:rFonts w:ascii="Century Gothic" w:hAnsi="Century Gothic"/>
          <w:b/>
          <w:bCs/>
        </w:rPr>
        <w:t>IN SCOPE</w:t>
      </w:r>
    </w:p>
    <w:p w14:paraId="6ED81897" w14:textId="77777777" w:rsidR="00755F9D" w:rsidRPr="00496C9F" w:rsidRDefault="00755F9D" w:rsidP="00755F9D">
      <w:pPr>
        <w:pStyle w:val="ListParagraph"/>
        <w:numPr>
          <w:ilvl w:val="0"/>
          <w:numId w:val="1"/>
        </w:numPr>
        <w:rPr>
          <w:rFonts w:ascii="Century Gothic" w:hAnsi="Century Gothic"/>
          <w:i/>
          <w:iCs/>
        </w:rPr>
      </w:pPr>
      <w:r w:rsidRPr="00496C9F">
        <w:rPr>
          <w:rFonts w:ascii="Century Gothic" w:hAnsi="Century Gothic"/>
          <w:i/>
          <w:iCs/>
        </w:rPr>
        <w:t>[e.g. All corporate identities (employees, contractors, third parties); crown-jewel applications identified in Phase 0; managed and BYOD endpoints accessing corporate resources.]</w:t>
      </w:r>
    </w:p>
    <w:p w14:paraId="73344007" w14:textId="77777777" w:rsidR="00755F9D" w:rsidRPr="00496C9F" w:rsidRDefault="00755F9D" w:rsidP="00755F9D">
      <w:pPr>
        <w:rPr>
          <w:rFonts w:ascii="Century Gothic" w:hAnsi="Century Gothic"/>
        </w:rPr>
      </w:pPr>
      <w:r w:rsidRPr="00496C9F">
        <w:rPr>
          <w:rFonts w:ascii="Century Gothic" w:hAnsi="Century Gothic"/>
          <w:b/>
          <w:bCs/>
        </w:rPr>
        <w:t>OUT OF SCOPE (FOR THIS CHARTER)</w:t>
      </w:r>
    </w:p>
    <w:p w14:paraId="36895164" w14:textId="77777777" w:rsidR="00755F9D" w:rsidRPr="00496C9F" w:rsidRDefault="00755F9D" w:rsidP="00755F9D">
      <w:pPr>
        <w:pStyle w:val="ListParagraph"/>
        <w:numPr>
          <w:ilvl w:val="0"/>
          <w:numId w:val="1"/>
        </w:numPr>
        <w:rPr>
          <w:rFonts w:ascii="Century Gothic" w:hAnsi="Century Gothic"/>
          <w:i/>
          <w:iCs/>
        </w:rPr>
      </w:pPr>
      <w:r w:rsidRPr="00496C9F">
        <w:rPr>
          <w:rFonts w:ascii="Century Gothic" w:hAnsi="Century Gothic"/>
          <w:i/>
          <w:iCs/>
        </w:rPr>
        <w:t>[e.g. OT/ICS environments on isolated networks; systems already scheduled for decommission; physical security controls.]</w:t>
      </w:r>
    </w:p>
    <w:p w14:paraId="4D04451D" w14:textId="77777777" w:rsidR="00755F9D" w:rsidRPr="00496C9F" w:rsidRDefault="00755F9D" w:rsidP="00755F9D">
      <w:pPr>
        <w:rPr>
          <w:rFonts w:ascii="Century Gothic" w:hAnsi="Century Gothic"/>
          <w:b/>
          <w:bCs/>
        </w:rPr>
      </w:pPr>
      <w:r w:rsidRPr="00496C9F">
        <w:rPr>
          <w:rFonts w:ascii="Century Gothic" w:hAnsi="Century Gothic"/>
          <w:b/>
          <w:bCs/>
        </w:rPr>
        <w:br w:type="page"/>
      </w:r>
    </w:p>
    <w:p w14:paraId="37DC56EE" w14:textId="77777777" w:rsidR="00755F9D" w:rsidRPr="00496C9F" w:rsidRDefault="00755F9D" w:rsidP="00755F9D">
      <w:pPr>
        <w:rPr>
          <w:rStyle w:val="IntenseReference"/>
          <w:rFonts w:ascii="Century Gothic" w:hAnsi="Century Gothic"/>
          <w:color w:val="852057"/>
        </w:rPr>
      </w:pPr>
      <w:r w:rsidRPr="00496C9F">
        <w:rPr>
          <w:rStyle w:val="IntenseReference"/>
          <w:rFonts w:ascii="Century Gothic" w:hAnsi="Century Gothic"/>
          <w:color w:val="852057"/>
        </w:rPr>
        <w:lastRenderedPageBreak/>
        <w:t>4. Guiding Principles</w:t>
      </w:r>
    </w:p>
    <w:p w14:paraId="1AFFC9CC" w14:textId="77777777" w:rsidR="00755F9D" w:rsidRPr="00496C9F" w:rsidRDefault="00755F9D" w:rsidP="00755F9D">
      <w:pPr>
        <w:rPr>
          <w:rFonts w:ascii="Century Gothic" w:hAnsi="Century Gothic"/>
        </w:rPr>
      </w:pPr>
      <w:r w:rsidRPr="00496C9F">
        <w:rPr>
          <w:rFonts w:ascii="Century Gothic" w:hAnsi="Century Gothic"/>
        </w:rPr>
        <w:t>These principles apply across every phase and should guide trade-off decisions as the program runs:</w:t>
      </w:r>
    </w:p>
    <w:p w14:paraId="61ED48B6" w14:textId="77777777" w:rsidR="00755F9D" w:rsidRPr="00496C9F" w:rsidRDefault="00755F9D" w:rsidP="00755F9D">
      <w:pPr>
        <w:pStyle w:val="ListParagraph"/>
        <w:numPr>
          <w:ilvl w:val="0"/>
          <w:numId w:val="1"/>
        </w:numPr>
        <w:rPr>
          <w:rFonts w:ascii="Century Gothic" w:hAnsi="Century Gothic"/>
          <w:i/>
          <w:iCs/>
        </w:rPr>
      </w:pPr>
      <w:r w:rsidRPr="00496C9F">
        <w:rPr>
          <w:rFonts w:ascii="Century Gothic" w:hAnsi="Century Gothic"/>
          <w:b/>
          <w:bCs/>
          <w:i/>
          <w:iCs/>
        </w:rPr>
        <w:t>Evolve, don't replace.</w:t>
      </w:r>
      <w:r w:rsidRPr="00496C9F">
        <w:rPr>
          <w:rFonts w:ascii="Century Gothic" w:hAnsi="Century Gothic"/>
          <w:i/>
          <w:iCs/>
        </w:rPr>
        <w:t xml:space="preserve"> The firewall, VPN, and existing identity stack stay in place and are progressively wrapped with identity- and context-aware controls, not torn out.</w:t>
      </w:r>
    </w:p>
    <w:p w14:paraId="670B5165" w14:textId="77777777" w:rsidR="00755F9D" w:rsidRPr="00496C9F" w:rsidRDefault="00755F9D" w:rsidP="00755F9D">
      <w:pPr>
        <w:pStyle w:val="ListParagraph"/>
        <w:numPr>
          <w:ilvl w:val="0"/>
          <w:numId w:val="1"/>
        </w:numPr>
        <w:rPr>
          <w:rFonts w:ascii="Century Gothic" w:hAnsi="Century Gothic"/>
          <w:i/>
          <w:iCs/>
        </w:rPr>
      </w:pPr>
      <w:r w:rsidRPr="00496C9F">
        <w:rPr>
          <w:rFonts w:ascii="Century Gothic" w:hAnsi="Century Gothic"/>
          <w:b/>
          <w:bCs/>
          <w:i/>
          <w:iCs/>
        </w:rPr>
        <w:t>Sequence by risk and ROI, not by what's easiest to procure.</w:t>
      </w:r>
      <w:r w:rsidRPr="00496C9F">
        <w:rPr>
          <w:rFonts w:ascii="Century Gothic" w:hAnsi="Century Gothic"/>
          <w:i/>
          <w:iCs/>
        </w:rPr>
        <w:t xml:space="preserve"> Identity hardening comes first because it delivers the highest risk reduction per dollar with the least user disruption.</w:t>
      </w:r>
    </w:p>
    <w:p w14:paraId="383E8362" w14:textId="77777777" w:rsidR="00755F9D" w:rsidRPr="00496C9F" w:rsidRDefault="00755F9D" w:rsidP="00755F9D">
      <w:pPr>
        <w:pStyle w:val="ListParagraph"/>
        <w:numPr>
          <w:ilvl w:val="0"/>
          <w:numId w:val="1"/>
        </w:numPr>
        <w:rPr>
          <w:rFonts w:ascii="Century Gothic" w:hAnsi="Century Gothic"/>
          <w:i/>
          <w:iCs/>
        </w:rPr>
      </w:pPr>
      <w:r w:rsidRPr="00496C9F">
        <w:rPr>
          <w:rFonts w:ascii="Century Gothic" w:hAnsi="Century Gothic"/>
          <w:b/>
          <w:bCs/>
        </w:rPr>
        <w:t xml:space="preserve">Start narrow, then scale. </w:t>
      </w:r>
      <w:r w:rsidRPr="00496C9F">
        <w:rPr>
          <w:rFonts w:ascii="Century Gothic" w:hAnsi="Century Gothic"/>
          <w:i/>
          <w:iCs/>
        </w:rPr>
        <w:t>Each phase begins with one or two crown-jewel use cases before rolling out company-wide.</w:t>
      </w:r>
    </w:p>
    <w:p w14:paraId="51430B76" w14:textId="77777777" w:rsidR="00755F9D" w:rsidRPr="00496C9F" w:rsidRDefault="00755F9D" w:rsidP="00755F9D">
      <w:pPr>
        <w:pStyle w:val="ListParagraph"/>
        <w:numPr>
          <w:ilvl w:val="0"/>
          <w:numId w:val="1"/>
        </w:numPr>
        <w:rPr>
          <w:rFonts w:ascii="Century Gothic" w:hAnsi="Century Gothic"/>
          <w:i/>
          <w:iCs/>
        </w:rPr>
      </w:pPr>
      <w:r w:rsidRPr="00496C9F">
        <w:rPr>
          <w:rFonts w:ascii="Century Gothic" w:hAnsi="Century Gothic"/>
          <w:b/>
          <w:bCs/>
          <w:i/>
          <w:iCs/>
        </w:rPr>
        <w:t>Every phase stands on its own.</w:t>
      </w:r>
      <w:r w:rsidRPr="00496C9F">
        <w:rPr>
          <w:rFonts w:ascii="Century Gothic" w:hAnsi="Century Gothic"/>
          <w:i/>
          <w:iCs/>
        </w:rPr>
        <w:t xml:space="preserve"> The program should be measurably more secure after each phase, even if it pauses there.</w:t>
      </w:r>
    </w:p>
    <w:p w14:paraId="141B84F0" w14:textId="77777777" w:rsidR="00755F9D" w:rsidRPr="00496C9F" w:rsidRDefault="00755F9D" w:rsidP="00755F9D">
      <w:pPr>
        <w:pStyle w:val="ListParagraph"/>
        <w:numPr>
          <w:ilvl w:val="0"/>
          <w:numId w:val="1"/>
        </w:numPr>
        <w:rPr>
          <w:rFonts w:ascii="Century Gothic" w:hAnsi="Century Gothic"/>
          <w:i/>
          <w:iCs/>
        </w:rPr>
      </w:pPr>
      <w:r w:rsidRPr="00496C9F">
        <w:rPr>
          <w:rFonts w:ascii="Century Gothic" w:hAnsi="Century Gothic"/>
          <w:b/>
          <w:bCs/>
          <w:i/>
          <w:iCs/>
        </w:rPr>
        <w:t>Zero Trust is an architecture, not a purchase.</w:t>
      </w:r>
      <w:r w:rsidRPr="00496C9F">
        <w:rPr>
          <w:rFonts w:ascii="Century Gothic" w:hAnsi="Century Gothic"/>
          <w:i/>
          <w:iCs/>
        </w:rPr>
        <w:t xml:space="preserve"> Grounded in NIST SP 800-207 and the CISA Zero Trust Maturity Model's five pillars — Identity, Devices, Networks, Applications &amp; Workloads, and Data.</w:t>
      </w:r>
    </w:p>
    <w:p w14:paraId="7EC7A135" w14:textId="77777777" w:rsidR="00755F9D" w:rsidRPr="00496C9F" w:rsidRDefault="00755F9D" w:rsidP="00755F9D">
      <w:pPr>
        <w:rPr>
          <w:rStyle w:val="IntenseReference"/>
          <w:rFonts w:ascii="Century Gothic" w:hAnsi="Century Gothic"/>
          <w:color w:val="852057"/>
        </w:rPr>
      </w:pPr>
      <w:r w:rsidRPr="00496C9F">
        <w:rPr>
          <w:rStyle w:val="IntenseReference"/>
          <w:rFonts w:ascii="Century Gothic" w:hAnsi="Century Gothic"/>
          <w:color w:val="852057"/>
        </w:rPr>
        <w:t>5. Phased Roadmap</w:t>
      </w:r>
    </w:p>
    <w:p w14:paraId="4B806D08" w14:textId="77777777" w:rsidR="00755F9D" w:rsidRPr="00496C9F" w:rsidRDefault="00755F9D" w:rsidP="00755F9D">
      <w:pPr>
        <w:rPr>
          <w:rFonts w:ascii="Century Gothic" w:hAnsi="Century Gothic"/>
        </w:rPr>
      </w:pPr>
      <w:r w:rsidRPr="00496C9F">
        <w:rPr>
          <w:rFonts w:ascii="Century Gothic" w:hAnsi="Century Gothic"/>
        </w:rPr>
        <w:t xml:space="preserve">The default sequence below reflects the standard risk/ROI logic for Zero Trust adoption. Adjust deliverables and exit criteria to your </w:t>
      </w:r>
      <w:proofErr w:type="gramStart"/>
      <w:r w:rsidRPr="00496C9F">
        <w:rPr>
          <w:rFonts w:ascii="Century Gothic" w:hAnsi="Century Gothic"/>
        </w:rPr>
        <w:t>environment, but</w:t>
      </w:r>
      <w:proofErr w:type="gramEnd"/>
      <w:r w:rsidRPr="00496C9F">
        <w:rPr>
          <w:rFonts w:ascii="Century Gothic" w:hAnsi="Century Gothic"/>
        </w:rPr>
        <w:t xml:space="preserve"> keep the order — each phase is designed to make the next one lower-risk.</w:t>
      </w:r>
    </w:p>
    <w:tbl>
      <w:tblPr>
        <w:tblStyle w:val="ListTable3-Accent1"/>
        <w:tblW w:w="5000" w:type="pct"/>
        <w:tblBorders>
          <w:top w:val="single" w:sz="4" w:space="0" w:color="F1C7DE"/>
          <w:left w:val="single" w:sz="4" w:space="0" w:color="F1C7DE"/>
          <w:bottom w:val="single" w:sz="4" w:space="0" w:color="F1C7DE"/>
          <w:right w:val="single" w:sz="4" w:space="0" w:color="F1C7DE"/>
          <w:insideH w:val="single" w:sz="4" w:space="0" w:color="F1C7DE"/>
        </w:tblBorders>
        <w:tblLook w:val="04A0" w:firstRow="1" w:lastRow="0" w:firstColumn="1" w:lastColumn="0" w:noHBand="0" w:noVBand="1"/>
      </w:tblPr>
      <w:tblGrid>
        <w:gridCol w:w="1510"/>
        <w:gridCol w:w="2374"/>
        <w:gridCol w:w="3669"/>
        <w:gridCol w:w="3237"/>
      </w:tblGrid>
      <w:tr w:rsidR="00755F9D" w:rsidRPr="00496C9F" w14:paraId="7D520C0A" w14:textId="77777777" w:rsidTr="00755F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00" w:type="pct"/>
            <w:tcBorders>
              <w:bottom w:val="none" w:sz="0" w:space="0" w:color="auto"/>
              <w:right w:val="none" w:sz="0" w:space="0" w:color="auto"/>
            </w:tcBorders>
            <w:shd w:val="clear" w:color="auto" w:fill="852057"/>
          </w:tcPr>
          <w:p w14:paraId="18E3B2A3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Phase</w:t>
            </w:r>
          </w:p>
        </w:tc>
        <w:tc>
          <w:tcPr>
            <w:tcW w:w="1100" w:type="pct"/>
            <w:shd w:val="clear" w:color="auto" w:fill="852057"/>
          </w:tcPr>
          <w:p w14:paraId="7248CBD0" w14:textId="77777777" w:rsidR="00755F9D" w:rsidRPr="00496C9F" w:rsidRDefault="00755F9D" w:rsidP="00BB2D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Objective</w:t>
            </w:r>
          </w:p>
        </w:tc>
        <w:tc>
          <w:tcPr>
            <w:tcW w:w="1700" w:type="pct"/>
            <w:shd w:val="clear" w:color="auto" w:fill="852057"/>
          </w:tcPr>
          <w:p w14:paraId="6DBFD808" w14:textId="77777777" w:rsidR="00755F9D" w:rsidRPr="00496C9F" w:rsidRDefault="00755F9D" w:rsidP="00BB2D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Key Deliverables / Milestones</w:t>
            </w:r>
          </w:p>
        </w:tc>
        <w:tc>
          <w:tcPr>
            <w:tcW w:w="1500" w:type="pct"/>
            <w:shd w:val="clear" w:color="auto" w:fill="852057"/>
          </w:tcPr>
          <w:p w14:paraId="73CF9347" w14:textId="77777777" w:rsidR="00755F9D" w:rsidRPr="00496C9F" w:rsidRDefault="00755F9D" w:rsidP="00BB2D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Exit Criteria (ready for next phase)</w:t>
            </w:r>
          </w:p>
        </w:tc>
      </w:tr>
      <w:tr w:rsidR="00755F9D" w:rsidRPr="00496C9F" w14:paraId="75FAF824" w14:textId="77777777" w:rsidTr="00755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FA4E893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0 — Assess</w:t>
            </w:r>
          </w:p>
        </w:tc>
        <w:tc>
          <w:tcPr>
            <w:tcW w:w="1100" w:type="pct"/>
            <w:tcBorders>
              <w:top w:val="none" w:sz="0" w:space="0" w:color="auto"/>
              <w:bottom w:val="none" w:sz="0" w:space="0" w:color="auto"/>
            </w:tcBorders>
          </w:tcPr>
          <w:p w14:paraId="047B1C82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Build a risk-ranked inventory to ground the entire roadmap in the organization's actual environment.</w:t>
            </w:r>
          </w:p>
        </w:tc>
        <w:tc>
          <w:tcPr>
            <w:tcW w:w="1700" w:type="pct"/>
            <w:tcBorders>
              <w:top w:val="none" w:sz="0" w:space="0" w:color="auto"/>
              <w:bottom w:val="none" w:sz="0" w:space="0" w:color="auto"/>
            </w:tcBorders>
          </w:tcPr>
          <w:p w14:paraId="0201572F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 xml:space="preserve">•  </w:t>
            </w:r>
            <w:r w:rsidRPr="00496C9F">
              <w:rPr>
                <w:rFonts w:ascii="Century Gothic" w:hAnsi="Century Gothic"/>
              </w:rPr>
              <w:t>Identity, device, application, and data-flow inventory</w:t>
            </w:r>
          </w:p>
          <w:p w14:paraId="087A6325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 xml:space="preserve">•  </w:t>
            </w:r>
            <w:r w:rsidRPr="00496C9F">
              <w:rPr>
                <w:rFonts w:ascii="Century Gothic" w:hAnsi="Century Gothic"/>
              </w:rPr>
              <w:t>Risk-ranked list of crown-jewel apps/data</w:t>
            </w:r>
          </w:p>
          <w:p w14:paraId="5A3A3758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 xml:space="preserve">•  </w:t>
            </w:r>
            <w:r w:rsidRPr="00496C9F">
              <w:rPr>
                <w:rFonts w:ascii="Century Gothic" w:hAnsi="Century Gothic"/>
              </w:rPr>
              <w:t>Gap assessment against the 5 Zero Trust pillars</w:t>
            </w:r>
          </w:p>
          <w:p w14:paraId="0669FE95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 xml:space="preserve">•  </w:t>
            </w:r>
            <w:r w:rsidRPr="00496C9F">
              <w:rPr>
                <w:rFonts w:ascii="Century Gothic" w:hAnsi="Century Gothic"/>
              </w:rPr>
              <w:t>Approved business case and roadmap</w:t>
            </w:r>
          </w:p>
        </w:tc>
        <w:tc>
          <w:tcPr>
            <w:tcW w:w="1500" w:type="pct"/>
            <w:tcBorders>
              <w:top w:val="none" w:sz="0" w:space="0" w:color="auto"/>
              <w:bottom w:val="none" w:sz="0" w:space="0" w:color="auto"/>
            </w:tcBorders>
          </w:tcPr>
          <w:p w14:paraId="2B585998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 xml:space="preserve">•  </w:t>
            </w:r>
            <w:r w:rsidRPr="00496C9F">
              <w:rPr>
                <w:rFonts w:ascii="Century Gothic" w:hAnsi="Century Gothic"/>
              </w:rPr>
              <w:t>Inventory validated by stakeholders</w:t>
            </w:r>
          </w:p>
          <w:p w14:paraId="7771F049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 xml:space="preserve">•  </w:t>
            </w:r>
            <w:r w:rsidRPr="00496C9F">
              <w:rPr>
                <w:rFonts w:ascii="Century Gothic" w:hAnsi="Century Gothic"/>
              </w:rPr>
              <w:t>1–2 crown-jewel pilot candidates selected</w:t>
            </w:r>
          </w:p>
          <w:p w14:paraId="691C1914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 xml:space="preserve">•  </w:t>
            </w:r>
            <w:r w:rsidRPr="00496C9F">
              <w:rPr>
                <w:rFonts w:ascii="Century Gothic" w:hAnsi="Century Gothic"/>
              </w:rPr>
              <w:t>Roadmap and budget approved by sponsor</w:t>
            </w:r>
          </w:p>
        </w:tc>
      </w:tr>
      <w:tr w:rsidR="00755F9D" w:rsidRPr="00496C9F" w14:paraId="6AE16EA3" w14:textId="77777777" w:rsidTr="00755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pct"/>
            <w:tcBorders>
              <w:right w:val="none" w:sz="0" w:space="0" w:color="auto"/>
            </w:tcBorders>
          </w:tcPr>
          <w:p w14:paraId="380E8227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1 — Identity</w:t>
            </w:r>
          </w:p>
        </w:tc>
        <w:tc>
          <w:tcPr>
            <w:tcW w:w="1100" w:type="pct"/>
          </w:tcPr>
          <w:p w14:paraId="1FA3DC6D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Harden the identity layer first — the highest risk-reduction per dollar and the least disruptive phase.</w:t>
            </w:r>
          </w:p>
        </w:tc>
        <w:tc>
          <w:tcPr>
            <w:tcW w:w="1700" w:type="pct"/>
          </w:tcPr>
          <w:p w14:paraId="6C4BF54C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 xml:space="preserve">•  </w:t>
            </w:r>
            <w:r w:rsidRPr="00496C9F">
              <w:rPr>
                <w:rFonts w:ascii="Century Gothic" w:hAnsi="Century Gothic"/>
              </w:rPr>
              <w:t>Phishing-resistant MFA (passkeys/FIDO2) for priority user groups</w:t>
            </w:r>
          </w:p>
          <w:p w14:paraId="390E4B30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 xml:space="preserve">•  </w:t>
            </w:r>
            <w:r w:rsidRPr="00496C9F">
              <w:rPr>
                <w:rFonts w:ascii="Century Gothic" w:hAnsi="Century Gothic"/>
              </w:rPr>
              <w:t>SSO consolidated across core applications</w:t>
            </w:r>
          </w:p>
          <w:p w14:paraId="74673D89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 xml:space="preserve">•  </w:t>
            </w:r>
            <w:r w:rsidRPr="00496C9F">
              <w:rPr>
                <w:rFonts w:ascii="Century Gothic" w:hAnsi="Century Gothic"/>
              </w:rPr>
              <w:t>Automated joiner-mover-leaver provisioning</w:t>
            </w:r>
          </w:p>
          <w:p w14:paraId="37B0AD73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 xml:space="preserve">•  </w:t>
            </w:r>
            <w:r w:rsidRPr="00496C9F">
              <w:rPr>
                <w:rFonts w:ascii="Century Gothic" w:hAnsi="Century Gothic"/>
              </w:rPr>
              <w:t>Privileged access controls for admin accounts</w:t>
            </w:r>
          </w:p>
        </w:tc>
        <w:tc>
          <w:tcPr>
            <w:tcW w:w="1500" w:type="pct"/>
          </w:tcPr>
          <w:p w14:paraId="0FFAF836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 xml:space="preserve">•  </w:t>
            </w:r>
            <w:r w:rsidRPr="00496C9F">
              <w:rPr>
                <w:rFonts w:ascii="Century Gothic" w:hAnsi="Century Gothic"/>
              </w:rPr>
              <w:t>MFA coverage target met for priority populations</w:t>
            </w:r>
          </w:p>
          <w:p w14:paraId="2A10E485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 xml:space="preserve">•  </w:t>
            </w:r>
            <w:r w:rsidRPr="00496C9F">
              <w:rPr>
                <w:rFonts w:ascii="Century Gothic" w:hAnsi="Century Gothic"/>
              </w:rPr>
              <w:t>Access reviews automated</w:t>
            </w:r>
          </w:p>
          <w:p w14:paraId="651B7EEE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 xml:space="preserve">•  </w:t>
            </w:r>
            <w:r w:rsidRPr="00496C9F">
              <w:rPr>
                <w:rFonts w:ascii="Century Gothic" w:hAnsi="Century Gothic"/>
              </w:rPr>
              <w:t>No standing/shared admin credentials outside an approved PAM workflow</w:t>
            </w:r>
          </w:p>
        </w:tc>
      </w:tr>
      <w:tr w:rsidR="00755F9D" w:rsidRPr="00496C9F" w14:paraId="14892190" w14:textId="77777777" w:rsidTr="00755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55E5EEB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2 — Device</w:t>
            </w:r>
          </w:p>
        </w:tc>
        <w:tc>
          <w:tcPr>
            <w:tcW w:w="1100" w:type="pct"/>
            <w:tcBorders>
              <w:top w:val="none" w:sz="0" w:space="0" w:color="auto"/>
              <w:bottom w:val="none" w:sz="0" w:space="0" w:color="auto"/>
            </w:tcBorders>
          </w:tcPr>
          <w:p w14:paraId="706C5960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Add device posture and contextual risk signal to access decisions, closing the BYOD/unmanaged-device gap.</w:t>
            </w:r>
          </w:p>
        </w:tc>
        <w:tc>
          <w:tcPr>
            <w:tcW w:w="1700" w:type="pct"/>
            <w:tcBorders>
              <w:top w:val="none" w:sz="0" w:space="0" w:color="auto"/>
              <w:bottom w:val="none" w:sz="0" w:space="0" w:color="auto"/>
            </w:tcBorders>
          </w:tcPr>
          <w:p w14:paraId="07ADA952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 xml:space="preserve">•  </w:t>
            </w:r>
            <w:r w:rsidRPr="00496C9F">
              <w:rPr>
                <w:rFonts w:ascii="Century Gothic" w:hAnsi="Century Gothic"/>
              </w:rPr>
              <w:t>Device posture checks integrated into access flows</w:t>
            </w:r>
          </w:p>
          <w:p w14:paraId="2C456291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 xml:space="preserve">•  </w:t>
            </w:r>
            <w:r w:rsidRPr="00496C9F">
              <w:rPr>
                <w:rFonts w:ascii="Century Gothic" w:hAnsi="Century Gothic"/>
              </w:rPr>
              <w:t>Conditional access combining identity + device + risk</w:t>
            </w:r>
          </w:p>
          <w:p w14:paraId="7CE31BDB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 xml:space="preserve">•  </w:t>
            </w:r>
            <w:r w:rsidRPr="00496C9F">
              <w:rPr>
                <w:rFonts w:ascii="Century Gothic" w:hAnsi="Century Gothic"/>
              </w:rPr>
              <w:t>Managed-device or compliant-BYOD enrollment path</w:t>
            </w:r>
          </w:p>
        </w:tc>
        <w:tc>
          <w:tcPr>
            <w:tcW w:w="1500" w:type="pct"/>
            <w:tcBorders>
              <w:top w:val="none" w:sz="0" w:space="0" w:color="auto"/>
              <w:bottom w:val="none" w:sz="0" w:space="0" w:color="auto"/>
            </w:tcBorders>
          </w:tcPr>
          <w:p w14:paraId="2FB08FD4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 xml:space="preserve">•  </w:t>
            </w:r>
            <w:r w:rsidRPr="00496C9F">
              <w:rPr>
                <w:rFonts w:ascii="Century Gothic" w:hAnsi="Century Gothic"/>
              </w:rPr>
              <w:t>Conditional access enforced for priority applications</w:t>
            </w:r>
          </w:p>
          <w:p w14:paraId="238A87D1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 xml:space="preserve">•  </w:t>
            </w:r>
            <w:r w:rsidRPr="00496C9F">
              <w:rPr>
                <w:rFonts w:ascii="Century Gothic" w:hAnsi="Century Gothic"/>
              </w:rPr>
              <w:t>Non-compliant devices blocked or restricted from sensitive resources</w:t>
            </w:r>
          </w:p>
        </w:tc>
      </w:tr>
      <w:tr w:rsidR="00755F9D" w:rsidRPr="00496C9F" w14:paraId="113CE826" w14:textId="77777777" w:rsidTr="00755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pct"/>
            <w:tcBorders>
              <w:right w:val="none" w:sz="0" w:space="0" w:color="auto"/>
            </w:tcBorders>
          </w:tcPr>
          <w:p w14:paraId="6BD95379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3 — Segment</w:t>
            </w:r>
          </w:p>
        </w:tc>
        <w:tc>
          <w:tcPr>
            <w:tcW w:w="1100" w:type="pct"/>
          </w:tcPr>
          <w:p w14:paraId="0B6431B6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 xml:space="preserve">Replace flat VPN access with per-application Zero Trust Network Access </w:t>
            </w:r>
            <w:r w:rsidRPr="00496C9F">
              <w:rPr>
                <w:rFonts w:ascii="Century Gothic" w:hAnsi="Century Gothic"/>
              </w:rPr>
              <w:lastRenderedPageBreak/>
              <w:t>(ZTNA), starting narrow.</w:t>
            </w:r>
          </w:p>
        </w:tc>
        <w:tc>
          <w:tcPr>
            <w:tcW w:w="1700" w:type="pct"/>
          </w:tcPr>
          <w:p w14:paraId="1DD3C433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lastRenderedPageBreak/>
              <w:t xml:space="preserve">•  </w:t>
            </w:r>
            <w:r w:rsidRPr="00496C9F">
              <w:rPr>
                <w:rFonts w:ascii="Century Gothic" w:hAnsi="Century Gothic"/>
              </w:rPr>
              <w:t>ZTNA deployed for the 2–3 crown-jewel apps identified in Phase 0</w:t>
            </w:r>
          </w:p>
          <w:p w14:paraId="601A8B07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 xml:space="preserve">•  </w:t>
            </w:r>
            <w:r w:rsidRPr="00496C9F">
              <w:rPr>
                <w:rFonts w:ascii="Century Gothic" w:hAnsi="Century Gothic"/>
              </w:rPr>
              <w:t>Legacy VPN access scoped down for migrated users</w:t>
            </w:r>
          </w:p>
          <w:p w14:paraId="755475B7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lastRenderedPageBreak/>
              <w:t xml:space="preserve">•  </w:t>
            </w:r>
            <w:r w:rsidRPr="00496C9F">
              <w:rPr>
                <w:rFonts w:ascii="Century Gothic" w:hAnsi="Century Gothic"/>
              </w:rPr>
              <w:t>Lateral-movement monitoring for segmented zones</w:t>
            </w:r>
          </w:p>
        </w:tc>
        <w:tc>
          <w:tcPr>
            <w:tcW w:w="1500" w:type="pct"/>
          </w:tcPr>
          <w:p w14:paraId="4434D615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lastRenderedPageBreak/>
              <w:t xml:space="preserve">•  </w:t>
            </w:r>
            <w:r w:rsidRPr="00496C9F">
              <w:rPr>
                <w:rFonts w:ascii="Century Gothic" w:hAnsi="Century Gothic"/>
              </w:rPr>
              <w:t>Pilot applications fully migrated off flat network access</w:t>
            </w:r>
          </w:p>
          <w:p w14:paraId="3A05ACFC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 xml:space="preserve">•  </w:t>
            </w:r>
            <w:r w:rsidRPr="00496C9F">
              <w:rPr>
                <w:rFonts w:ascii="Century Gothic" w:hAnsi="Century Gothic"/>
              </w:rPr>
              <w:t>No regression in user experience or performance</w:t>
            </w:r>
          </w:p>
          <w:p w14:paraId="06CA12B9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lastRenderedPageBreak/>
              <w:t xml:space="preserve">•  </w:t>
            </w:r>
            <w:r w:rsidRPr="00496C9F">
              <w:rPr>
                <w:rFonts w:ascii="Century Gothic" w:hAnsi="Century Gothic"/>
              </w:rPr>
              <w:t>Measurable reduction in standing network access</w:t>
            </w:r>
          </w:p>
        </w:tc>
      </w:tr>
      <w:tr w:rsidR="00755F9D" w:rsidRPr="00496C9F" w14:paraId="328EBBE6" w14:textId="77777777" w:rsidTr="00755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8A2C255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lastRenderedPageBreak/>
              <w:t>4 — Verify</w:t>
            </w:r>
          </w:p>
        </w:tc>
        <w:tc>
          <w:tcPr>
            <w:tcW w:w="1100" w:type="pct"/>
            <w:tcBorders>
              <w:top w:val="none" w:sz="0" w:space="0" w:color="auto"/>
              <w:bottom w:val="none" w:sz="0" w:space="0" w:color="auto"/>
            </w:tcBorders>
          </w:tcPr>
          <w:p w14:paraId="4706307D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Mature from “verify at login” to continuous, real-time verification — including non-human identities.</w:t>
            </w:r>
          </w:p>
        </w:tc>
        <w:tc>
          <w:tcPr>
            <w:tcW w:w="1700" w:type="pct"/>
            <w:tcBorders>
              <w:top w:val="none" w:sz="0" w:space="0" w:color="auto"/>
              <w:bottom w:val="none" w:sz="0" w:space="0" w:color="auto"/>
            </w:tcBorders>
          </w:tcPr>
          <w:p w14:paraId="537EFDAE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 xml:space="preserve">•  </w:t>
            </w:r>
            <w:r w:rsidRPr="00496C9F">
              <w:rPr>
                <w:rFonts w:ascii="Century Gothic" w:hAnsi="Century Gothic"/>
              </w:rPr>
              <w:t>Real-time risk scoring and automated response</w:t>
            </w:r>
          </w:p>
          <w:p w14:paraId="49D6E6FC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 xml:space="preserve">•  </w:t>
            </w:r>
            <w:r w:rsidRPr="00496C9F">
              <w:rPr>
                <w:rFonts w:ascii="Century Gothic" w:hAnsi="Century Gothic"/>
              </w:rPr>
              <w:t>Data-level access controls for sensitive data sets</w:t>
            </w:r>
          </w:p>
          <w:p w14:paraId="5468252A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 xml:space="preserve">•  </w:t>
            </w:r>
            <w:r w:rsidRPr="00496C9F">
              <w:rPr>
                <w:rFonts w:ascii="Century Gothic" w:hAnsi="Century Gothic"/>
              </w:rPr>
              <w:t>Governance extended to service accounts, API keys, and AI agents</w:t>
            </w:r>
          </w:p>
        </w:tc>
        <w:tc>
          <w:tcPr>
            <w:tcW w:w="1500" w:type="pct"/>
            <w:tcBorders>
              <w:top w:val="none" w:sz="0" w:space="0" w:color="auto"/>
              <w:bottom w:val="none" w:sz="0" w:space="0" w:color="auto"/>
            </w:tcBorders>
          </w:tcPr>
          <w:p w14:paraId="3A66B15F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 xml:space="preserve">•  </w:t>
            </w:r>
            <w:r w:rsidRPr="00496C9F">
              <w:rPr>
                <w:rFonts w:ascii="Century Gothic" w:hAnsi="Century Gothic"/>
              </w:rPr>
              <w:t>Continuous verification live for priority applications</w:t>
            </w:r>
          </w:p>
          <w:p w14:paraId="10AF5FAF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 xml:space="preserve">•  </w:t>
            </w:r>
            <w:r w:rsidRPr="00496C9F">
              <w:rPr>
                <w:rFonts w:ascii="Century Gothic" w:hAnsi="Century Gothic"/>
              </w:rPr>
              <w:t>Non-human identity inventory under active governance</w:t>
            </w:r>
          </w:p>
          <w:p w14:paraId="32F66BB5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 xml:space="preserve">•  </w:t>
            </w:r>
            <w:r w:rsidRPr="00496C9F">
              <w:rPr>
                <w:rFonts w:ascii="Century Gothic" w:hAnsi="Century Gothic"/>
              </w:rPr>
              <w:t>Automated response playbooks tested</w:t>
            </w:r>
          </w:p>
        </w:tc>
      </w:tr>
    </w:tbl>
    <w:p w14:paraId="28CB226D" w14:textId="77777777" w:rsidR="00755F9D" w:rsidRPr="00496C9F" w:rsidRDefault="00755F9D" w:rsidP="00755F9D">
      <w:pPr>
        <w:spacing w:before="240"/>
        <w:rPr>
          <w:rStyle w:val="IntenseReference"/>
          <w:rFonts w:ascii="Century Gothic" w:hAnsi="Century Gothic"/>
          <w:color w:val="852057"/>
        </w:rPr>
      </w:pPr>
      <w:r w:rsidRPr="00496C9F">
        <w:rPr>
          <w:rStyle w:val="IntenseReference"/>
          <w:rFonts w:ascii="Century Gothic" w:hAnsi="Century Gothic"/>
          <w:color w:val="852057"/>
        </w:rPr>
        <w:t>6. Execution Tracker</w:t>
      </w:r>
    </w:p>
    <w:p w14:paraId="13F46819" w14:textId="77777777" w:rsidR="00755F9D" w:rsidRPr="00496C9F" w:rsidRDefault="00755F9D" w:rsidP="00755F9D">
      <w:pPr>
        <w:rPr>
          <w:rFonts w:ascii="Century Gothic" w:hAnsi="Century Gothic"/>
        </w:rPr>
      </w:pPr>
      <w:r w:rsidRPr="00496C9F">
        <w:rPr>
          <w:rFonts w:ascii="Century Gothic" w:hAnsi="Century Gothic"/>
        </w:rPr>
        <w:t>Update as the program runs. This is the working view for status reporting to the steering committee.</w:t>
      </w:r>
    </w:p>
    <w:tbl>
      <w:tblPr>
        <w:tblStyle w:val="ListTable3-Accent1"/>
        <w:tblW w:w="5007" w:type="pct"/>
        <w:tblBorders>
          <w:top w:val="single" w:sz="4" w:space="0" w:color="F1C7DE"/>
          <w:left w:val="single" w:sz="4" w:space="0" w:color="F1C7DE"/>
          <w:bottom w:val="single" w:sz="4" w:space="0" w:color="F1C7DE"/>
          <w:right w:val="single" w:sz="4" w:space="0" w:color="F1C7DE"/>
          <w:insideH w:val="single" w:sz="4" w:space="0" w:color="F1C7DE"/>
        </w:tblBorders>
        <w:tblLook w:val="04A0" w:firstRow="1" w:lastRow="0" w:firstColumn="1" w:lastColumn="0" w:noHBand="0" w:noVBand="1"/>
      </w:tblPr>
      <w:tblGrid>
        <w:gridCol w:w="3024"/>
        <w:gridCol w:w="1621"/>
        <w:gridCol w:w="1405"/>
        <w:gridCol w:w="1405"/>
        <w:gridCol w:w="1621"/>
        <w:gridCol w:w="1729"/>
      </w:tblGrid>
      <w:tr w:rsidR="00755F9D" w:rsidRPr="00496C9F" w14:paraId="21296CD1" w14:textId="77777777" w:rsidTr="00755F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00" w:type="pct"/>
            <w:tcBorders>
              <w:bottom w:val="none" w:sz="0" w:space="0" w:color="auto"/>
              <w:right w:val="none" w:sz="0" w:space="0" w:color="auto"/>
            </w:tcBorders>
            <w:shd w:val="clear" w:color="auto" w:fill="852057"/>
          </w:tcPr>
          <w:p w14:paraId="224A38E9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Phase</w:t>
            </w:r>
          </w:p>
        </w:tc>
        <w:tc>
          <w:tcPr>
            <w:tcW w:w="750" w:type="pct"/>
            <w:shd w:val="clear" w:color="auto" w:fill="852057"/>
          </w:tcPr>
          <w:p w14:paraId="14761478" w14:textId="77777777" w:rsidR="00755F9D" w:rsidRPr="00496C9F" w:rsidRDefault="00755F9D" w:rsidP="00BB2D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Owner</w:t>
            </w:r>
          </w:p>
        </w:tc>
        <w:tc>
          <w:tcPr>
            <w:tcW w:w="650" w:type="pct"/>
            <w:shd w:val="clear" w:color="auto" w:fill="852057"/>
          </w:tcPr>
          <w:p w14:paraId="10FC008F" w14:textId="77777777" w:rsidR="00755F9D" w:rsidRPr="00496C9F" w:rsidRDefault="00755F9D" w:rsidP="00BB2D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Target Start</w:t>
            </w:r>
          </w:p>
        </w:tc>
        <w:tc>
          <w:tcPr>
            <w:tcW w:w="650" w:type="pct"/>
            <w:shd w:val="clear" w:color="auto" w:fill="852057"/>
          </w:tcPr>
          <w:p w14:paraId="2EAE33EF" w14:textId="77777777" w:rsidR="00755F9D" w:rsidRPr="00496C9F" w:rsidRDefault="00755F9D" w:rsidP="00BB2D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Target End</w:t>
            </w:r>
          </w:p>
        </w:tc>
        <w:tc>
          <w:tcPr>
            <w:tcW w:w="750" w:type="pct"/>
            <w:shd w:val="clear" w:color="auto" w:fill="852057"/>
          </w:tcPr>
          <w:p w14:paraId="6C0B2453" w14:textId="77777777" w:rsidR="00755F9D" w:rsidRPr="00496C9F" w:rsidRDefault="00755F9D" w:rsidP="00BB2D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Status</w:t>
            </w:r>
          </w:p>
        </w:tc>
        <w:tc>
          <w:tcPr>
            <w:tcW w:w="800" w:type="pct"/>
            <w:shd w:val="clear" w:color="auto" w:fill="852057"/>
          </w:tcPr>
          <w:p w14:paraId="027D6F74" w14:textId="77777777" w:rsidR="00755F9D" w:rsidRPr="00496C9F" w:rsidRDefault="00755F9D" w:rsidP="00BB2D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Notes</w:t>
            </w:r>
          </w:p>
        </w:tc>
      </w:tr>
      <w:tr w:rsidR="00755F9D" w:rsidRPr="00496C9F" w14:paraId="34AE9457" w14:textId="77777777" w:rsidTr="00755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D403FD4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0 — Assess</w:t>
            </w:r>
          </w:p>
        </w:tc>
        <w:tc>
          <w:tcPr>
            <w:tcW w:w="750" w:type="pct"/>
            <w:tcBorders>
              <w:top w:val="none" w:sz="0" w:space="0" w:color="auto"/>
              <w:bottom w:val="none" w:sz="0" w:space="0" w:color="auto"/>
            </w:tcBorders>
          </w:tcPr>
          <w:p w14:paraId="34DD97CF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  <w:tc>
          <w:tcPr>
            <w:tcW w:w="650" w:type="pct"/>
            <w:tcBorders>
              <w:top w:val="none" w:sz="0" w:space="0" w:color="auto"/>
              <w:bottom w:val="none" w:sz="0" w:space="0" w:color="auto"/>
            </w:tcBorders>
          </w:tcPr>
          <w:p w14:paraId="3415BA57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  <w:tc>
          <w:tcPr>
            <w:tcW w:w="650" w:type="pct"/>
            <w:tcBorders>
              <w:top w:val="none" w:sz="0" w:space="0" w:color="auto"/>
              <w:bottom w:val="none" w:sz="0" w:space="0" w:color="auto"/>
            </w:tcBorders>
          </w:tcPr>
          <w:p w14:paraId="409A62CA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  <w:tc>
          <w:tcPr>
            <w:tcW w:w="750" w:type="pct"/>
            <w:tcBorders>
              <w:top w:val="none" w:sz="0" w:space="0" w:color="auto"/>
              <w:bottom w:val="none" w:sz="0" w:space="0" w:color="auto"/>
            </w:tcBorders>
          </w:tcPr>
          <w:p w14:paraId="7DCCA849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Not Started</w:t>
            </w:r>
          </w:p>
        </w:tc>
        <w:tc>
          <w:tcPr>
            <w:tcW w:w="800" w:type="pct"/>
            <w:tcBorders>
              <w:top w:val="none" w:sz="0" w:space="0" w:color="auto"/>
              <w:bottom w:val="none" w:sz="0" w:space="0" w:color="auto"/>
            </w:tcBorders>
          </w:tcPr>
          <w:p w14:paraId="2F60EE9C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</w:tr>
      <w:tr w:rsidR="00755F9D" w:rsidRPr="00496C9F" w14:paraId="12371A11" w14:textId="77777777" w:rsidTr="00755F9D">
        <w:trPr>
          <w:trHeight w:val="5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pct"/>
            <w:tcBorders>
              <w:right w:val="none" w:sz="0" w:space="0" w:color="auto"/>
            </w:tcBorders>
          </w:tcPr>
          <w:p w14:paraId="287D93E4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1 — Identity</w:t>
            </w:r>
          </w:p>
        </w:tc>
        <w:tc>
          <w:tcPr>
            <w:tcW w:w="750" w:type="pct"/>
          </w:tcPr>
          <w:p w14:paraId="749F53D6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  <w:tc>
          <w:tcPr>
            <w:tcW w:w="650" w:type="pct"/>
          </w:tcPr>
          <w:p w14:paraId="1F6039EC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  <w:tc>
          <w:tcPr>
            <w:tcW w:w="650" w:type="pct"/>
          </w:tcPr>
          <w:p w14:paraId="499ACBE8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  <w:tc>
          <w:tcPr>
            <w:tcW w:w="750" w:type="pct"/>
          </w:tcPr>
          <w:p w14:paraId="528D4D76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Not Started</w:t>
            </w:r>
          </w:p>
        </w:tc>
        <w:tc>
          <w:tcPr>
            <w:tcW w:w="800" w:type="pct"/>
          </w:tcPr>
          <w:p w14:paraId="11E17AF7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</w:tr>
      <w:tr w:rsidR="00755F9D" w:rsidRPr="00496C9F" w14:paraId="6492459A" w14:textId="77777777" w:rsidTr="00755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6EFCAD3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2 — Device</w:t>
            </w:r>
          </w:p>
        </w:tc>
        <w:tc>
          <w:tcPr>
            <w:tcW w:w="750" w:type="pct"/>
            <w:tcBorders>
              <w:top w:val="none" w:sz="0" w:space="0" w:color="auto"/>
              <w:bottom w:val="none" w:sz="0" w:space="0" w:color="auto"/>
            </w:tcBorders>
          </w:tcPr>
          <w:p w14:paraId="1844F9E4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  <w:tc>
          <w:tcPr>
            <w:tcW w:w="650" w:type="pct"/>
            <w:tcBorders>
              <w:top w:val="none" w:sz="0" w:space="0" w:color="auto"/>
              <w:bottom w:val="none" w:sz="0" w:space="0" w:color="auto"/>
            </w:tcBorders>
          </w:tcPr>
          <w:p w14:paraId="29334F42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  <w:tc>
          <w:tcPr>
            <w:tcW w:w="650" w:type="pct"/>
            <w:tcBorders>
              <w:top w:val="none" w:sz="0" w:space="0" w:color="auto"/>
              <w:bottom w:val="none" w:sz="0" w:space="0" w:color="auto"/>
            </w:tcBorders>
          </w:tcPr>
          <w:p w14:paraId="30746FFE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  <w:tc>
          <w:tcPr>
            <w:tcW w:w="750" w:type="pct"/>
            <w:tcBorders>
              <w:top w:val="none" w:sz="0" w:space="0" w:color="auto"/>
              <w:bottom w:val="none" w:sz="0" w:space="0" w:color="auto"/>
            </w:tcBorders>
          </w:tcPr>
          <w:p w14:paraId="7DF93504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Not Started</w:t>
            </w:r>
          </w:p>
        </w:tc>
        <w:tc>
          <w:tcPr>
            <w:tcW w:w="800" w:type="pct"/>
            <w:tcBorders>
              <w:top w:val="none" w:sz="0" w:space="0" w:color="auto"/>
              <w:bottom w:val="none" w:sz="0" w:space="0" w:color="auto"/>
            </w:tcBorders>
          </w:tcPr>
          <w:p w14:paraId="5C73E12C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</w:tr>
      <w:tr w:rsidR="00755F9D" w:rsidRPr="00496C9F" w14:paraId="0D843A15" w14:textId="77777777" w:rsidTr="00755F9D">
        <w:trPr>
          <w:trHeight w:val="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pct"/>
            <w:tcBorders>
              <w:right w:val="none" w:sz="0" w:space="0" w:color="auto"/>
            </w:tcBorders>
          </w:tcPr>
          <w:p w14:paraId="5A84FF02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3 — Segment</w:t>
            </w:r>
          </w:p>
        </w:tc>
        <w:tc>
          <w:tcPr>
            <w:tcW w:w="750" w:type="pct"/>
          </w:tcPr>
          <w:p w14:paraId="3B37D64E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  <w:tc>
          <w:tcPr>
            <w:tcW w:w="650" w:type="pct"/>
          </w:tcPr>
          <w:p w14:paraId="68253B5C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  <w:tc>
          <w:tcPr>
            <w:tcW w:w="650" w:type="pct"/>
          </w:tcPr>
          <w:p w14:paraId="77632E22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  <w:tc>
          <w:tcPr>
            <w:tcW w:w="750" w:type="pct"/>
          </w:tcPr>
          <w:p w14:paraId="32EDB5E7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Not Started</w:t>
            </w:r>
          </w:p>
        </w:tc>
        <w:tc>
          <w:tcPr>
            <w:tcW w:w="800" w:type="pct"/>
          </w:tcPr>
          <w:p w14:paraId="646839F4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</w:tr>
      <w:tr w:rsidR="00755F9D" w:rsidRPr="00496C9F" w14:paraId="42BA8333" w14:textId="77777777" w:rsidTr="00755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4B4F572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4 — Verify</w:t>
            </w:r>
          </w:p>
        </w:tc>
        <w:tc>
          <w:tcPr>
            <w:tcW w:w="750" w:type="pct"/>
            <w:tcBorders>
              <w:top w:val="none" w:sz="0" w:space="0" w:color="auto"/>
              <w:bottom w:val="none" w:sz="0" w:space="0" w:color="auto"/>
            </w:tcBorders>
          </w:tcPr>
          <w:p w14:paraId="4D38EAA2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  <w:tc>
          <w:tcPr>
            <w:tcW w:w="650" w:type="pct"/>
            <w:tcBorders>
              <w:top w:val="none" w:sz="0" w:space="0" w:color="auto"/>
              <w:bottom w:val="none" w:sz="0" w:space="0" w:color="auto"/>
            </w:tcBorders>
          </w:tcPr>
          <w:p w14:paraId="1B8E28FD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  <w:tc>
          <w:tcPr>
            <w:tcW w:w="650" w:type="pct"/>
            <w:tcBorders>
              <w:top w:val="none" w:sz="0" w:space="0" w:color="auto"/>
              <w:bottom w:val="none" w:sz="0" w:space="0" w:color="auto"/>
            </w:tcBorders>
          </w:tcPr>
          <w:p w14:paraId="37C7271C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  <w:tc>
          <w:tcPr>
            <w:tcW w:w="750" w:type="pct"/>
            <w:tcBorders>
              <w:top w:val="none" w:sz="0" w:space="0" w:color="auto"/>
              <w:bottom w:val="none" w:sz="0" w:space="0" w:color="auto"/>
            </w:tcBorders>
          </w:tcPr>
          <w:p w14:paraId="6E3435A9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Not Started</w:t>
            </w:r>
          </w:p>
        </w:tc>
        <w:tc>
          <w:tcPr>
            <w:tcW w:w="800" w:type="pct"/>
            <w:tcBorders>
              <w:top w:val="none" w:sz="0" w:space="0" w:color="auto"/>
              <w:bottom w:val="none" w:sz="0" w:space="0" w:color="auto"/>
            </w:tcBorders>
          </w:tcPr>
          <w:p w14:paraId="63FB8216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</w:tr>
    </w:tbl>
    <w:p w14:paraId="08480303" w14:textId="77777777" w:rsidR="00755F9D" w:rsidRPr="00496C9F" w:rsidRDefault="00755F9D" w:rsidP="00755F9D">
      <w:pPr>
        <w:spacing w:before="240"/>
        <w:rPr>
          <w:rStyle w:val="IntenseReference"/>
          <w:rFonts w:ascii="Century Gothic" w:hAnsi="Century Gothic"/>
          <w:color w:val="852057"/>
        </w:rPr>
      </w:pPr>
      <w:r w:rsidRPr="00496C9F">
        <w:rPr>
          <w:rStyle w:val="IntenseReference"/>
          <w:rFonts w:ascii="Century Gothic" w:hAnsi="Century Gothic"/>
          <w:color w:val="852057"/>
        </w:rPr>
        <w:t>7. Roles &amp; Governance</w:t>
      </w:r>
    </w:p>
    <w:tbl>
      <w:tblPr>
        <w:tblStyle w:val="ListTable3-Accent1"/>
        <w:tblW w:w="5000" w:type="pct"/>
        <w:tblBorders>
          <w:top w:val="single" w:sz="4" w:space="0" w:color="F1C7DE"/>
          <w:left w:val="single" w:sz="4" w:space="0" w:color="F1C7DE"/>
          <w:bottom w:val="single" w:sz="4" w:space="0" w:color="F1C7DE"/>
          <w:right w:val="single" w:sz="4" w:space="0" w:color="F1C7DE"/>
          <w:insideH w:val="single" w:sz="4" w:space="0" w:color="F1C7DE"/>
        </w:tblBorders>
        <w:tblLook w:val="04A0" w:firstRow="1" w:lastRow="0" w:firstColumn="1" w:lastColumn="0" w:noHBand="0" w:noVBand="1"/>
      </w:tblPr>
      <w:tblGrid>
        <w:gridCol w:w="2589"/>
        <w:gridCol w:w="5611"/>
        <w:gridCol w:w="2590"/>
      </w:tblGrid>
      <w:tr w:rsidR="00755F9D" w:rsidRPr="00496C9F" w14:paraId="36987509" w14:textId="77777777" w:rsidTr="00755F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00" w:type="pct"/>
            <w:tcBorders>
              <w:bottom w:val="none" w:sz="0" w:space="0" w:color="auto"/>
              <w:right w:val="none" w:sz="0" w:space="0" w:color="auto"/>
            </w:tcBorders>
            <w:shd w:val="clear" w:color="auto" w:fill="852057"/>
          </w:tcPr>
          <w:p w14:paraId="4DA84881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Role</w:t>
            </w:r>
          </w:p>
        </w:tc>
        <w:tc>
          <w:tcPr>
            <w:tcW w:w="2600" w:type="pct"/>
            <w:shd w:val="clear" w:color="auto" w:fill="852057"/>
          </w:tcPr>
          <w:p w14:paraId="4BF26277" w14:textId="77777777" w:rsidR="00755F9D" w:rsidRPr="00496C9F" w:rsidRDefault="00755F9D" w:rsidP="00BB2D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Responsibilities</w:t>
            </w:r>
          </w:p>
        </w:tc>
        <w:tc>
          <w:tcPr>
            <w:tcW w:w="1200" w:type="pct"/>
            <w:shd w:val="clear" w:color="auto" w:fill="852057"/>
          </w:tcPr>
          <w:p w14:paraId="2CB854C3" w14:textId="77777777" w:rsidR="00755F9D" w:rsidRPr="00496C9F" w:rsidRDefault="00755F9D" w:rsidP="00BB2D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Name / Owner</w:t>
            </w:r>
          </w:p>
        </w:tc>
      </w:tr>
      <w:tr w:rsidR="00755F9D" w:rsidRPr="00496C9F" w14:paraId="742D9812" w14:textId="77777777" w:rsidTr="00755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1CEBCF4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Executive Sponsor</w:t>
            </w:r>
          </w:p>
        </w:tc>
        <w:tc>
          <w:tcPr>
            <w:tcW w:w="2600" w:type="pct"/>
            <w:tcBorders>
              <w:top w:val="none" w:sz="0" w:space="0" w:color="auto"/>
              <w:bottom w:val="none" w:sz="0" w:space="0" w:color="auto"/>
            </w:tcBorders>
          </w:tcPr>
          <w:p w14:paraId="43339895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Owns the business case, secures budget, removes organizational blockers, approves phase gates.</w:t>
            </w:r>
          </w:p>
        </w:tc>
        <w:tc>
          <w:tcPr>
            <w:tcW w:w="1200" w:type="pct"/>
            <w:tcBorders>
              <w:top w:val="none" w:sz="0" w:space="0" w:color="auto"/>
              <w:bottom w:val="none" w:sz="0" w:space="0" w:color="auto"/>
            </w:tcBorders>
          </w:tcPr>
          <w:p w14:paraId="2D7171F5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</w:tr>
      <w:tr w:rsidR="00755F9D" w:rsidRPr="00496C9F" w14:paraId="2AF9B685" w14:textId="77777777" w:rsidTr="00755F9D">
        <w:trPr>
          <w:trHeight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pct"/>
            <w:tcBorders>
              <w:right w:val="none" w:sz="0" w:space="0" w:color="auto"/>
            </w:tcBorders>
          </w:tcPr>
          <w:p w14:paraId="142FE31A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Program Lead</w:t>
            </w:r>
          </w:p>
        </w:tc>
        <w:tc>
          <w:tcPr>
            <w:tcW w:w="2600" w:type="pct"/>
          </w:tcPr>
          <w:p w14:paraId="0C2819F7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Runs the roadmap day-to-day, tracks phase progress, reports to the steering committee.</w:t>
            </w:r>
          </w:p>
        </w:tc>
        <w:tc>
          <w:tcPr>
            <w:tcW w:w="1200" w:type="pct"/>
          </w:tcPr>
          <w:p w14:paraId="7978D113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</w:tr>
      <w:tr w:rsidR="00755F9D" w:rsidRPr="00496C9F" w14:paraId="2E713B32" w14:textId="77777777" w:rsidTr="00755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8DBE674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Identity / IAM Lead</w:t>
            </w:r>
          </w:p>
        </w:tc>
        <w:tc>
          <w:tcPr>
            <w:tcW w:w="2600" w:type="pct"/>
            <w:tcBorders>
              <w:top w:val="none" w:sz="0" w:space="0" w:color="auto"/>
              <w:bottom w:val="none" w:sz="0" w:space="0" w:color="auto"/>
            </w:tcBorders>
          </w:tcPr>
          <w:p w14:paraId="3724DDB0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Owns Phase 1 and identity-layer decisions across all subsequent phases.</w:t>
            </w:r>
          </w:p>
        </w:tc>
        <w:tc>
          <w:tcPr>
            <w:tcW w:w="1200" w:type="pct"/>
            <w:tcBorders>
              <w:top w:val="none" w:sz="0" w:space="0" w:color="auto"/>
              <w:bottom w:val="none" w:sz="0" w:space="0" w:color="auto"/>
            </w:tcBorders>
          </w:tcPr>
          <w:p w14:paraId="1C5971D8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</w:tr>
      <w:tr w:rsidR="00755F9D" w:rsidRPr="00496C9F" w14:paraId="583F1A61" w14:textId="77777777" w:rsidTr="00755F9D">
        <w:trPr>
          <w:trHeight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pct"/>
            <w:tcBorders>
              <w:right w:val="none" w:sz="0" w:space="0" w:color="auto"/>
            </w:tcBorders>
          </w:tcPr>
          <w:p w14:paraId="48F8AAD4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Network / Security Architecture Lead</w:t>
            </w:r>
          </w:p>
        </w:tc>
        <w:tc>
          <w:tcPr>
            <w:tcW w:w="2600" w:type="pct"/>
          </w:tcPr>
          <w:p w14:paraId="06BE73AA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Owns firewall and network-segmentation continuity and leads the Phase 3 ZTNA rollout.</w:t>
            </w:r>
          </w:p>
        </w:tc>
        <w:tc>
          <w:tcPr>
            <w:tcW w:w="1200" w:type="pct"/>
          </w:tcPr>
          <w:p w14:paraId="536802C5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</w:tr>
      <w:tr w:rsidR="00755F9D" w:rsidRPr="00496C9F" w14:paraId="063BD468" w14:textId="77777777" w:rsidTr="00755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07E3DAC7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Application Owners</w:t>
            </w:r>
          </w:p>
        </w:tc>
        <w:tc>
          <w:tcPr>
            <w:tcW w:w="2600" w:type="pct"/>
            <w:tcBorders>
              <w:top w:val="none" w:sz="0" w:space="0" w:color="auto"/>
              <w:bottom w:val="none" w:sz="0" w:space="0" w:color="auto"/>
            </w:tcBorders>
          </w:tcPr>
          <w:p w14:paraId="4B4CA81C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Provide crown-jewel application context, validate exit criteria, coordinate migration windows.</w:t>
            </w:r>
          </w:p>
        </w:tc>
        <w:tc>
          <w:tcPr>
            <w:tcW w:w="1200" w:type="pct"/>
            <w:tcBorders>
              <w:top w:val="none" w:sz="0" w:space="0" w:color="auto"/>
              <w:bottom w:val="none" w:sz="0" w:space="0" w:color="auto"/>
            </w:tcBorders>
          </w:tcPr>
          <w:p w14:paraId="56DA0D44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</w:tr>
      <w:tr w:rsidR="00755F9D" w:rsidRPr="00496C9F" w14:paraId="55092A34" w14:textId="77777777" w:rsidTr="00755F9D">
        <w:trPr>
          <w:trHeight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pct"/>
            <w:tcBorders>
              <w:right w:val="none" w:sz="0" w:space="0" w:color="auto"/>
            </w:tcBorders>
          </w:tcPr>
          <w:p w14:paraId="40504012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Steering Committee</w:t>
            </w:r>
          </w:p>
        </w:tc>
        <w:tc>
          <w:tcPr>
            <w:tcW w:w="2600" w:type="pct"/>
          </w:tcPr>
          <w:p w14:paraId="61B6C568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Reviews phase-gate decisions and approves progression to the next phase.</w:t>
            </w:r>
          </w:p>
        </w:tc>
        <w:tc>
          <w:tcPr>
            <w:tcW w:w="1200" w:type="pct"/>
          </w:tcPr>
          <w:p w14:paraId="3BC022F0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</w:tr>
    </w:tbl>
    <w:p w14:paraId="5BA4DEA3" w14:textId="77777777" w:rsidR="00755F9D" w:rsidRPr="00496C9F" w:rsidRDefault="00755F9D" w:rsidP="00755F9D">
      <w:pPr>
        <w:spacing w:before="240"/>
        <w:rPr>
          <w:rFonts w:ascii="Century Gothic" w:hAnsi="Century Gothic"/>
        </w:rPr>
      </w:pPr>
      <w:r w:rsidRPr="00496C9F">
        <w:rPr>
          <w:rFonts w:ascii="Century Gothic" w:hAnsi="Century Gothic"/>
          <w:b/>
          <w:bCs/>
        </w:rPr>
        <w:t xml:space="preserve">Governance cadence: </w:t>
      </w:r>
      <w:r w:rsidRPr="00496C9F">
        <w:rPr>
          <w:rFonts w:ascii="Century Gothic" w:hAnsi="Century Gothic"/>
          <w:i/>
          <w:iCs/>
        </w:rPr>
        <w:t>[e.g. Steering committee meets biweekly during active phases and monthly during stabilization; phase-gate sign-off required from the Executive Sponsor before starting the next phase.]</w:t>
      </w:r>
    </w:p>
    <w:p w14:paraId="4F761881" w14:textId="731FF88A" w:rsidR="00755F9D" w:rsidRPr="00496C9F" w:rsidRDefault="00755F9D" w:rsidP="00755F9D">
      <w:pPr>
        <w:rPr>
          <w:rStyle w:val="IntenseReference"/>
          <w:rFonts w:ascii="Century Gothic" w:hAnsi="Century Gothic"/>
          <w:b w:val="0"/>
          <w:bCs w:val="0"/>
          <w:smallCaps w:val="0"/>
          <w:color w:val="auto"/>
          <w:spacing w:val="0"/>
        </w:rPr>
      </w:pPr>
      <w:r w:rsidRPr="00496C9F">
        <w:rPr>
          <w:rFonts w:ascii="Century Gothic" w:hAnsi="Century Gothic"/>
        </w:rPr>
        <w:br w:type="page"/>
      </w:r>
      <w:r w:rsidRPr="00496C9F">
        <w:rPr>
          <w:rStyle w:val="IntenseReference"/>
          <w:rFonts w:ascii="Century Gothic" w:hAnsi="Century Gothic"/>
          <w:color w:val="852057"/>
        </w:rPr>
        <w:lastRenderedPageBreak/>
        <w:t>8. Risks &amp; Assumptions</w:t>
      </w:r>
    </w:p>
    <w:p w14:paraId="0096FF5C" w14:textId="77777777" w:rsidR="00755F9D" w:rsidRPr="00496C9F" w:rsidRDefault="00755F9D" w:rsidP="00755F9D">
      <w:pPr>
        <w:rPr>
          <w:rFonts w:ascii="Century Gothic" w:hAnsi="Century Gothic"/>
        </w:rPr>
      </w:pPr>
      <w:r w:rsidRPr="00496C9F">
        <w:rPr>
          <w:rFonts w:ascii="Century Gothic" w:hAnsi="Century Gothic"/>
        </w:rPr>
        <w:t>A few common risks are pre-filled as a starting point — add organization-specific entries below them.</w:t>
      </w:r>
    </w:p>
    <w:tbl>
      <w:tblPr>
        <w:tblStyle w:val="ListTable3-Accent1"/>
        <w:tblW w:w="4998" w:type="pct"/>
        <w:tblBorders>
          <w:top w:val="single" w:sz="4" w:space="0" w:color="F1C7DE"/>
          <w:left w:val="single" w:sz="4" w:space="0" w:color="F1C7DE"/>
          <w:bottom w:val="single" w:sz="4" w:space="0" w:color="F1C7DE"/>
          <w:right w:val="single" w:sz="4" w:space="0" w:color="F1C7DE"/>
          <w:insideH w:val="single" w:sz="4" w:space="0" w:color="F1C7DE"/>
        </w:tblBorders>
        <w:tblLook w:val="04A0" w:firstRow="1" w:lastRow="0" w:firstColumn="1" w:lastColumn="0" w:noHBand="0" w:noVBand="1"/>
      </w:tblPr>
      <w:tblGrid>
        <w:gridCol w:w="3668"/>
        <w:gridCol w:w="1294"/>
        <w:gridCol w:w="1294"/>
        <w:gridCol w:w="3236"/>
        <w:gridCol w:w="1294"/>
      </w:tblGrid>
      <w:tr w:rsidR="00755F9D" w:rsidRPr="00496C9F" w14:paraId="47CCB1AA" w14:textId="77777777" w:rsidTr="00755F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00" w:type="pct"/>
            <w:tcBorders>
              <w:bottom w:val="none" w:sz="0" w:space="0" w:color="auto"/>
              <w:right w:val="none" w:sz="0" w:space="0" w:color="auto"/>
            </w:tcBorders>
            <w:shd w:val="clear" w:color="auto" w:fill="852057"/>
          </w:tcPr>
          <w:p w14:paraId="3BCF0E84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Risk / Assumption</w:t>
            </w:r>
          </w:p>
        </w:tc>
        <w:tc>
          <w:tcPr>
            <w:tcW w:w="600" w:type="pct"/>
            <w:shd w:val="clear" w:color="auto" w:fill="852057"/>
          </w:tcPr>
          <w:p w14:paraId="116CAA3C" w14:textId="77777777" w:rsidR="00755F9D" w:rsidRPr="00496C9F" w:rsidRDefault="00755F9D" w:rsidP="00BB2D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Likelihood</w:t>
            </w:r>
          </w:p>
        </w:tc>
        <w:tc>
          <w:tcPr>
            <w:tcW w:w="600" w:type="pct"/>
            <w:shd w:val="clear" w:color="auto" w:fill="852057"/>
          </w:tcPr>
          <w:p w14:paraId="10CB7B4B" w14:textId="77777777" w:rsidR="00755F9D" w:rsidRPr="00496C9F" w:rsidRDefault="00755F9D" w:rsidP="00BB2D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Impact</w:t>
            </w:r>
          </w:p>
        </w:tc>
        <w:tc>
          <w:tcPr>
            <w:tcW w:w="1500" w:type="pct"/>
            <w:shd w:val="clear" w:color="auto" w:fill="852057"/>
          </w:tcPr>
          <w:p w14:paraId="6945A843" w14:textId="77777777" w:rsidR="00755F9D" w:rsidRPr="00496C9F" w:rsidRDefault="00755F9D" w:rsidP="00BB2D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Mitigation</w:t>
            </w:r>
          </w:p>
        </w:tc>
        <w:tc>
          <w:tcPr>
            <w:tcW w:w="600" w:type="pct"/>
            <w:shd w:val="clear" w:color="auto" w:fill="852057"/>
          </w:tcPr>
          <w:p w14:paraId="3054FF23" w14:textId="77777777" w:rsidR="00755F9D" w:rsidRPr="00496C9F" w:rsidRDefault="00755F9D" w:rsidP="00BB2D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Owner</w:t>
            </w:r>
          </w:p>
        </w:tc>
      </w:tr>
      <w:tr w:rsidR="00755F9D" w:rsidRPr="00496C9F" w14:paraId="2947A4BA" w14:textId="77777777" w:rsidTr="00755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2C89955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New MFA / access methods create user friction and slow adoption.</w:t>
            </w:r>
          </w:p>
        </w:tc>
        <w:tc>
          <w:tcPr>
            <w:tcW w:w="600" w:type="pct"/>
            <w:tcBorders>
              <w:top w:val="none" w:sz="0" w:space="0" w:color="auto"/>
              <w:bottom w:val="none" w:sz="0" w:space="0" w:color="auto"/>
            </w:tcBorders>
          </w:tcPr>
          <w:p w14:paraId="34AF0BCD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>Medium</w:t>
            </w:r>
          </w:p>
        </w:tc>
        <w:tc>
          <w:tcPr>
            <w:tcW w:w="600" w:type="pct"/>
            <w:tcBorders>
              <w:top w:val="none" w:sz="0" w:space="0" w:color="auto"/>
              <w:bottom w:val="none" w:sz="0" w:space="0" w:color="auto"/>
            </w:tcBorders>
          </w:tcPr>
          <w:p w14:paraId="3A647A9C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>Medium</w:t>
            </w:r>
          </w:p>
        </w:tc>
        <w:tc>
          <w:tcPr>
            <w:tcW w:w="1500" w:type="pct"/>
            <w:tcBorders>
              <w:top w:val="none" w:sz="0" w:space="0" w:color="auto"/>
              <w:bottom w:val="none" w:sz="0" w:space="0" w:color="auto"/>
            </w:tcBorders>
          </w:tcPr>
          <w:p w14:paraId="3BC082EC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Phase MFA rollout by user group; communicate early; offer a low-friction method (</w:t>
            </w:r>
            <w:proofErr w:type="gramStart"/>
            <w:r w:rsidRPr="00496C9F">
              <w:rPr>
                <w:rFonts w:ascii="Century Gothic" w:hAnsi="Century Gothic"/>
              </w:rPr>
              <w:t>passkeys</w:t>
            </w:r>
            <w:proofErr w:type="gramEnd"/>
            <w:r w:rsidRPr="00496C9F">
              <w:rPr>
                <w:rFonts w:ascii="Century Gothic" w:hAnsi="Century Gothic"/>
              </w:rPr>
              <w:t>) before enforcing broadly.</w:t>
            </w:r>
          </w:p>
        </w:tc>
        <w:tc>
          <w:tcPr>
            <w:tcW w:w="600" w:type="pct"/>
            <w:tcBorders>
              <w:top w:val="none" w:sz="0" w:space="0" w:color="auto"/>
              <w:bottom w:val="none" w:sz="0" w:space="0" w:color="auto"/>
            </w:tcBorders>
          </w:tcPr>
          <w:p w14:paraId="636B5FD0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</w:tr>
      <w:tr w:rsidR="00755F9D" w:rsidRPr="00496C9F" w14:paraId="00C9C4B1" w14:textId="77777777" w:rsidTr="00755F9D">
        <w:trPr>
          <w:trHeight w:val="1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pct"/>
            <w:tcBorders>
              <w:right w:val="none" w:sz="0" w:space="0" w:color="auto"/>
            </w:tcBorders>
          </w:tcPr>
          <w:p w14:paraId="3C873835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Legacy, OT, or IoT systems can't support modern identity agents.</w:t>
            </w:r>
          </w:p>
        </w:tc>
        <w:tc>
          <w:tcPr>
            <w:tcW w:w="600" w:type="pct"/>
          </w:tcPr>
          <w:p w14:paraId="2A840B6B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>Medium</w:t>
            </w:r>
          </w:p>
        </w:tc>
        <w:tc>
          <w:tcPr>
            <w:tcW w:w="600" w:type="pct"/>
          </w:tcPr>
          <w:p w14:paraId="26B6CA42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>High</w:t>
            </w:r>
          </w:p>
        </w:tc>
        <w:tc>
          <w:tcPr>
            <w:tcW w:w="1500" w:type="pct"/>
          </w:tcPr>
          <w:p w14:paraId="4D7A1D44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Keep these systems behind existing network segmentation (firewall) rather than forcing them into Phase 1–2 scope.</w:t>
            </w:r>
          </w:p>
        </w:tc>
        <w:tc>
          <w:tcPr>
            <w:tcW w:w="600" w:type="pct"/>
          </w:tcPr>
          <w:p w14:paraId="60C1AAFE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</w:tr>
      <w:tr w:rsidR="00755F9D" w:rsidRPr="00496C9F" w14:paraId="4D9F88C3" w14:textId="77777777" w:rsidTr="00755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78B7BC9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Third-party / vendor accounts fall outside standard identity lifecycle automation.</w:t>
            </w:r>
          </w:p>
        </w:tc>
        <w:tc>
          <w:tcPr>
            <w:tcW w:w="600" w:type="pct"/>
            <w:tcBorders>
              <w:top w:val="none" w:sz="0" w:space="0" w:color="auto"/>
              <w:bottom w:val="none" w:sz="0" w:space="0" w:color="auto"/>
            </w:tcBorders>
          </w:tcPr>
          <w:p w14:paraId="1D18C4C9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>High</w:t>
            </w:r>
          </w:p>
        </w:tc>
        <w:tc>
          <w:tcPr>
            <w:tcW w:w="600" w:type="pct"/>
            <w:tcBorders>
              <w:top w:val="none" w:sz="0" w:space="0" w:color="auto"/>
              <w:bottom w:val="none" w:sz="0" w:space="0" w:color="auto"/>
            </w:tcBorders>
          </w:tcPr>
          <w:p w14:paraId="5A420E23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>Medium</w:t>
            </w:r>
          </w:p>
        </w:tc>
        <w:tc>
          <w:tcPr>
            <w:tcW w:w="1500" w:type="pct"/>
            <w:tcBorders>
              <w:top w:val="none" w:sz="0" w:space="0" w:color="auto"/>
              <w:bottom w:val="none" w:sz="0" w:space="0" w:color="auto"/>
            </w:tcBorders>
          </w:tcPr>
          <w:p w14:paraId="33253A9E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Extend joiner-mover-leaver automation to a defined third-party access process in Phase 1.</w:t>
            </w:r>
          </w:p>
        </w:tc>
        <w:tc>
          <w:tcPr>
            <w:tcW w:w="600" w:type="pct"/>
            <w:tcBorders>
              <w:top w:val="none" w:sz="0" w:space="0" w:color="auto"/>
              <w:bottom w:val="none" w:sz="0" w:space="0" w:color="auto"/>
            </w:tcBorders>
          </w:tcPr>
          <w:p w14:paraId="36469A70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</w:tr>
      <w:tr w:rsidR="00755F9D" w:rsidRPr="00496C9F" w14:paraId="19C5CB13" w14:textId="77777777" w:rsidTr="00755F9D">
        <w:trPr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pct"/>
            <w:tcBorders>
              <w:right w:val="none" w:sz="0" w:space="0" w:color="auto"/>
            </w:tcBorders>
          </w:tcPr>
          <w:p w14:paraId="7C4E8504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[Add organization-specific risk or assumption]</w:t>
            </w:r>
          </w:p>
        </w:tc>
        <w:tc>
          <w:tcPr>
            <w:tcW w:w="600" w:type="pct"/>
          </w:tcPr>
          <w:p w14:paraId="6B51E509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>[ ]</w:t>
            </w:r>
          </w:p>
        </w:tc>
        <w:tc>
          <w:tcPr>
            <w:tcW w:w="600" w:type="pct"/>
          </w:tcPr>
          <w:p w14:paraId="3FCC6A67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>[ ]</w:t>
            </w:r>
          </w:p>
        </w:tc>
        <w:tc>
          <w:tcPr>
            <w:tcW w:w="1500" w:type="pct"/>
          </w:tcPr>
          <w:p w14:paraId="201ACD0F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  <w:tc>
          <w:tcPr>
            <w:tcW w:w="600" w:type="pct"/>
          </w:tcPr>
          <w:p w14:paraId="3F39718C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</w:tr>
      <w:tr w:rsidR="00755F9D" w:rsidRPr="00496C9F" w14:paraId="079B87BC" w14:textId="77777777" w:rsidTr="00755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40C48C1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[Add organization-specific risk or assumption]</w:t>
            </w:r>
          </w:p>
        </w:tc>
        <w:tc>
          <w:tcPr>
            <w:tcW w:w="600" w:type="pct"/>
            <w:tcBorders>
              <w:top w:val="none" w:sz="0" w:space="0" w:color="auto"/>
              <w:bottom w:val="none" w:sz="0" w:space="0" w:color="auto"/>
            </w:tcBorders>
          </w:tcPr>
          <w:p w14:paraId="764FFE6F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>[ ]</w:t>
            </w:r>
          </w:p>
        </w:tc>
        <w:tc>
          <w:tcPr>
            <w:tcW w:w="600" w:type="pct"/>
            <w:tcBorders>
              <w:top w:val="none" w:sz="0" w:space="0" w:color="auto"/>
              <w:bottom w:val="none" w:sz="0" w:space="0" w:color="auto"/>
            </w:tcBorders>
          </w:tcPr>
          <w:p w14:paraId="75E0DEDC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  <w:b/>
                <w:bCs/>
              </w:rPr>
              <w:t>[ ]</w:t>
            </w:r>
          </w:p>
        </w:tc>
        <w:tc>
          <w:tcPr>
            <w:tcW w:w="1500" w:type="pct"/>
            <w:tcBorders>
              <w:top w:val="none" w:sz="0" w:space="0" w:color="auto"/>
              <w:bottom w:val="none" w:sz="0" w:space="0" w:color="auto"/>
            </w:tcBorders>
          </w:tcPr>
          <w:p w14:paraId="4ED2858C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  <w:tc>
          <w:tcPr>
            <w:tcW w:w="600" w:type="pct"/>
            <w:tcBorders>
              <w:top w:val="none" w:sz="0" w:space="0" w:color="auto"/>
              <w:bottom w:val="none" w:sz="0" w:space="0" w:color="auto"/>
            </w:tcBorders>
          </w:tcPr>
          <w:p w14:paraId="7D5A2DCA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</w:tr>
    </w:tbl>
    <w:p w14:paraId="74B2F9C1" w14:textId="77777777" w:rsidR="00755F9D" w:rsidRPr="00496C9F" w:rsidRDefault="00755F9D" w:rsidP="00755F9D">
      <w:pPr>
        <w:rPr>
          <w:rFonts w:ascii="Century Gothic" w:hAnsi="Century Gothic"/>
        </w:rPr>
      </w:pPr>
    </w:p>
    <w:p w14:paraId="112465BD" w14:textId="77777777" w:rsidR="00755F9D" w:rsidRPr="00496C9F" w:rsidRDefault="00755F9D" w:rsidP="00755F9D">
      <w:pPr>
        <w:rPr>
          <w:rStyle w:val="IntenseReference"/>
          <w:rFonts w:ascii="Century Gothic" w:hAnsi="Century Gothic"/>
          <w:color w:val="852057"/>
        </w:rPr>
      </w:pPr>
      <w:r w:rsidRPr="00496C9F">
        <w:rPr>
          <w:rStyle w:val="IntenseReference"/>
          <w:rFonts w:ascii="Century Gothic" w:hAnsi="Century Gothic"/>
          <w:color w:val="852057"/>
        </w:rPr>
        <w:t>9. Budget &amp; Resource Considerations</w:t>
      </w:r>
    </w:p>
    <w:tbl>
      <w:tblPr>
        <w:tblStyle w:val="ListTable3-Accent1"/>
        <w:tblW w:w="5000" w:type="pct"/>
        <w:tblBorders>
          <w:top w:val="single" w:sz="4" w:space="0" w:color="F1C7DE"/>
          <w:left w:val="single" w:sz="4" w:space="0" w:color="F1C7DE"/>
          <w:bottom w:val="single" w:sz="4" w:space="0" w:color="F1C7DE"/>
          <w:right w:val="single" w:sz="4" w:space="0" w:color="F1C7DE"/>
          <w:insideH w:val="single" w:sz="4" w:space="0" w:color="F1C7DE"/>
        </w:tblBorders>
        <w:tblLook w:val="04A0" w:firstRow="1" w:lastRow="0" w:firstColumn="1" w:lastColumn="0" w:noHBand="0" w:noVBand="1"/>
      </w:tblPr>
      <w:tblGrid>
        <w:gridCol w:w="1942"/>
        <w:gridCol w:w="4532"/>
        <w:gridCol w:w="4316"/>
      </w:tblGrid>
      <w:tr w:rsidR="00755F9D" w:rsidRPr="00496C9F" w14:paraId="3A799C01" w14:textId="77777777" w:rsidTr="00755F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0" w:type="pct"/>
            <w:tcBorders>
              <w:bottom w:val="none" w:sz="0" w:space="0" w:color="auto"/>
              <w:right w:val="none" w:sz="0" w:space="0" w:color="auto"/>
            </w:tcBorders>
            <w:shd w:val="clear" w:color="auto" w:fill="852057"/>
          </w:tcPr>
          <w:p w14:paraId="3C5FCA9E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Phase</w:t>
            </w:r>
          </w:p>
        </w:tc>
        <w:tc>
          <w:tcPr>
            <w:tcW w:w="2100" w:type="pct"/>
            <w:shd w:val="clear" w:color="auto" w:fill="852057"/>
          </w:tcPr>
          <w:p w14:paraId="41ECE9C3" w14:textId="77777777" w:rsidR="00755F9D" w:rsidRPr="00496C9F" w:rsidRDefault="00755F9D" w:rsidP="00BB2D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Primary Resource Needs</w:t>
            </w:r>
          </w:p>
        </w:tc>
        <w:tc>
          <w:tcPr>
            <w:tcW w:w="2000" w:type="pct"/>
            <w:shd w:val="clear" w:color="auto" w:fill="852057"/>
          </w:tcPr>
          <w:p w14:paraId="38D0B9ED" w14:textId="77777777" w:rsidR="00755F9D" w:rsidRPr="00496C9F" w:rsidRDefault="00755F9D" w:rsidP="00BB2D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Budget Notes</w:t>
            </w:r>
          </w:p>
        </w:tc>
      </w:tr>
      <w:tr w:rsidR="00755F9D" w:rsidRPr="00496C9F" w14:paraId="3FB9A05C" w14:textId="77777777" w:rsidTr="00755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662A335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0 — Assess</w:t>
            </w:r>
          </w:p>
        </w:tc>
        <w:tc>
          <w:tcPr>
            <w:tcW w:w="2100" w:type="pct"/>
            <w:tcBorders>
              <w:top w:val="none" w:sz="0" w:space="0" w:color="auto"/>
              <w:bottom w:val="none" w:sz="0" w:space="0" w:color="auto"/>
            </w:tcBorders>
          </w:tcPr>
          <w:p w14:paraId="711C2814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Discovery/assessment tooling or consulting time; program lead bandwidth.</w:t>
            </w:r>
          </w:p>
        </w:tc>
        <w:tc>
          <w:tcPr>
            <w:tcW w:w="2000" w:type="pct"/>
            <w:tcBorders>
              <w:top w:val="none" w:sz="0" w:space="0" w:color="auto"/>
              <w:bottom w:val="none" w:sz="0" w:space="0" w:color="auto"/>
            </w:tcBorders>
          </w:tcPr>
          <w:p w14:paraId="603A82D2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</w:tr>
      <w:tr w:rsidR="00755F9D" w:rsidRPr="00496C9F" w14:paraId="78742244" w14:textId="77777777" w:rsidTr="00755F9D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pct"/>
            <w:tcBorders>
              <w:right w:val="none" w:sz="0" w:space="0" w:color="auto"/>
            </w:tcBorders>
          </w:tcPr>
          <w:p w14:paraId="4F49BCBE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1 — Identity</w:t>
            </w:r>
          </w:p>
        </w:tc>
        <w:tc>
          <w:tcPr>
            <w:tcW w:w="2100" w:type="pct"/>
          </w:tcPr>
          <w:p w14:paraId="5ADA9E43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MFA/</w:t>
            </w:r>
            <w:proofErr w:type="gramStart"/>
            <w:r w:rsidRPr="00496C9F">
              <w:rPr>
                <w:rFonts w:ascii="Century Gothic" w:hAnsi="Century Gothic"/>
              </w:rPr>
              <w:t>passkey</w:t>
            </w:r>
            <w:proofErr w:type="gramEnd"/>
            <w:r w:rsidRPr="00496C9F">
              <w:rPr>
                <w:rFonts w:ascii="Century Gothic" w:hAnsi="Century Gothic"/>
              </w:rPr>
              <w:t xml:space="preserve"> licensing, SSO consolidation effort, identity governance tooling.</w:t>
            </w:r>
          </w:p>
        </w:tc>
        <w:tc>
          <w:tcPr>
            <w:tcW w:w="2000" w:type="pct"/>
          </w:tcPr>
          <w:p w14:paraId="0FF656FF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</w:tr>
      <w:tr w:rsidR="00755F9D" w:rsidRPr="00496C9F" w14:paraId="786B1A97" w14:textId="77777777" w:rsidTr="00755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A537C4C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2 — Device</w:t>
            </w:r>
          </w:p>
        </w:tc>
        <w:tc>
          <w:tcPr>
            <w:tcW w:w="2100" w:type="pct"/>
            <w:tcBorders>
              <w:top w:val="none" w:sz="0" w:space="0" w:color="auto"/>
              <w:bottom w:val="none" w:sz="0" w:space="0" w:color="auto"/>
            </w:tcBorders>
          </w:tcPr>
          <w:p w14:paraId="0FD4312D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Device management/posture tooling, conditional access policy engine.</w:t>
            </w:r>
          </w:p>
        </w:tc>
        <w:tc>
          <w:tcPr>
            <w:tcW w:w="2000" w:type="pct"/>
            <w:tcBorders>
              <w:top w:val="none" w:sz="0" w:space="0" w:color="auto"/>
              <w:bottom w:val="none" w:sz="0" w:space="0" w:color="auto"/>
            </w:tcBorders>
          </w:tcPr>
          <w:p w14:paraId="5A6F3C59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</w:tr>
      <w:tr w:rsidR="00755F9D" w:rsidRPr="00496C9F" w14:paraId="39B7726F" w14:textId="77777777" w:rsidTr="00755F9D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pct"/>
            <w:tcBorders>
              <w:right w:val="none" w:sz="0" w:space="0" w:color="auto"/>
            </w:tcBorders>
          </w:tcPr>
          <w:p w14:paraId="3FE80126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3 — Segment</w:t>
            </w:r>
          </w:p>
        </w:tc>
        <w:tc>
          <w:tcPr>
            <w:tcW w:w="2100" w:type="pct"/>
          </w:tcPr>
          <w:p w14:paraId="4280F708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ZTNA licensing, migration effort for pilot applications.</w:t>
            </w:r>
          </w:p>
        </w:tc>
        <w:tc>
          <w:tcPr>
            <w:tcW w:w="2000" w:type="pct"/>
          </w:tcPr>
          <w:p w14:paraId="6891BAC8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</w:tr>
      <w:tr w:rsidR="00755F9D" w:rsidRPr="00496C9F" w14:paraId="10B8EE05" w14:textId="77777777" w:rsidTr="00755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DADD5C1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4 — Verify</w:t>
            </w:r>
          </w:p>
        </w:tc>
        <w:tc>
          <w:tcPr>
            <w:tcW w:w="2100" w:type="pct"/>
            <w:tcBorders>
              <w:top w:val="none" w:sz="0" w:space="0" w:color="auto"/>
              <w:bottom w:val="none" w:sz="0" w:space="0" w:color="auto"/>
            </w:tcBorders>
          </w:tcPr>
          <w:p w14:paraId="20EE2741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Risk-scoring/automation tooling, non-human identity governance.</w:t>
            </w:r>
          </w:p>
        </w:tc>
        <w:tc>
          <w:tcPr>
            <w:tcW w:w="2000" w:type="pct"/>
            <w:tcBorders>
              <w:top w:val="none" w:sz="0" w:space="0" w:color="auto"/>
              <w:bottom w:val="none" w:sz="0" w:space="0" w:color="auto"/>
            </w:tcBorders>
          </w:tcPr>
          <w:p w14:paraId="6B64AFCB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</w:tr>
    </w:tbl>
    <w:p w14:paraId="218FDF41" w14:textId="77777777" w:rsidR="00755F9D" w:rsidRPr="00496C9F" w:rsidRDefault="00755F9D" w:rsidP="00755F9D">
      <w:pPr>
        <w:spacing w:before="240"/>
        <w:rPr>
          <w:rFonts w:ascii="Century Gothic" w:hAnsi="Century Gothic"/>
        </w:rPr>
      </w:pPr>
      <w:r w:rsidRPr="00496C9F">
        <w:rPr>
          <w:rFonts w:ascii="Century Gothic" w:hAnsi="Century Gothic"/>
          <w:i/>
          <w:iCs/>
        </w:rPr>
        <w:t>[Add total estimated budget, funding source, and any procurement dependencies — e.g. existing IAM/MDM contracts that may cover part of Phase 1–2 at no additional cost.]</w:t>
      </w:r>
    </w:p>
    <w:p w14:paraId="3C28AA6A" w14:textId="20816E06" w:rsidR="00755F9D" w:rsidRPr="00496C9F" w:rsidRDefault="00755F9D" w:rsidP="00755F9D">
      <w:pPr>
        <w:rPr>
          <w:rStyle w:val="IntenseReference"/>
          <w:rFonts w:ascii="Century Gothic" w:hAnsi="Century Gothic"/>
          <w:smallCaps w:val="0"/>
          <w:color w:val="852057"/>
          <w:spacing w:val="0"/>
        </w:rPr>
      </w:pPr>
      <w:r w:rsidRPr="00496C9F">
        <w:rPr>
          <w:rFonts w:ascii="Century Gothic" w:hAnsi="Century Gothic"/>
          <w:b/>
          <w:bCs/>
        </w:rPr>
        <w:br w:type="page"/>
      </w:r>
      <w:r w:rsidRPr="00496C9F">
        <w:rPr>
          <w:rStyle w:val="IntenseReference"/>
          <w:rFonts w:ascii="Century Gothic" w:hAnsi="Century Gothic"/>
          <w:color w:val="852057"/>
        </w:rPr>
        <w:lastRenderedPageBreak/>
        <w:t>10. Communication Plan</w:t>
      </w:r>
    </w:p>
    <w:p w14:paraId="7F1E66E4" w14:textId="77777777" w:rsidR="00755F9D" w:rsidRPr="00496C9F" w:rsidRDefault="00755F9D" w:rsidP="00755F9D">
      <w:pPr>
        <w:pStyle w:val="ListParagraph"/>
        <w:numPr>
          <w:ilvl w:val="0"/>
          <w:numId w:val="1"/>
        </w:numPr>
        <w:rPr>
          <w:rFonts w:ascii="Century Gothic" w:hAnsi="Century Gothic"/>
          <w:i/>
          <w:iCs/>
        </w:rPr>
      </w:pPr>
      <w:r w:rsidRPr="00496C9F">
        <w:rPr>
          <w:rFonts w:ascii="Century Gothic" w:hAnsi="Century Gothic"/>
          <w:i/>
          <w:iCs/>
        </w:rPr>
        <w:t>[e.g. Steering committee: written status update biweekly, live review at each phase gate.]</w:t>
      </w:r>
    </w:p>
    <w:p w14:paraId="4C5E367C" w14:textId="77777777" w:rsidR="00755F9D" w:rsidRPr="00496C9F" w:rsidRDefault="00755F9D" w:rsidP="00755F9D">
      <w:pPr>
        <w:pStyle w:val="ListParagraph"/>
        <w:numPr>
          <w:ilvl w:val="0"/>
          <w:numId w:val="1"/>
        </w:numPr>
        <w:rPr>
          <w:rFonts w:ascii="Century Gothic" w:hAnsi="Century Gothic"/>
          <w:i/>
          <w:iCs/>
        </w:rPr>
      </w:pPr>
      <w:r w:rsidRPr="00496C9F">
        <w:rPr>
          <w:rFonts w:ascii="Century Gothic" w:hAnsi="Century Gothic"/>
          <w:i/>
          <w:iCs/>
        </w:rPr>
        <w:t>[e.g. Broader stakeholders/department heads: summary update at the close of each phase.]</w:t>
      </w:r>
    </w:p>
    <w:p w14:paraId="555CFE0D" w14:textId="77777777" w:rsidR="00755F9D" w:rsidRPr="00496C9F" w:rsidRDefault="00755F9D" w:rsidP="00755F9D">
      <w:pPr>
        <w:pStyle w:val="ListParagraph"/>
        <w:numPr>
          <w:ilvl w:val="0"/>
          <w:numId w:val="1"/>
        </w:numPr>
        <w:rPr>
          <w:rFonts w:ascii="Century Gothic" w:hAnsi="Century Gothic"/>
          <w:i/>
          <w:iCs/>
        </w:rPr>
      </w:pPr>
      <w:r w:rsidRPr="00496C9F">
        <w:rPr>
          <w:rFonts w:ascii="Century Gothic" w:hAnsi="Century Gothic"/>
          <w:i/>
          <w:iCs/>
        </w:rPr>
        <w:t>[e.g. End users: advance notice and instructions before any change that affects login (Phase 1 MFA rollout) or device enrollment (Phase 2).]</w:t>
      </w:r>
    </w:p>
    <w:p w14:paraId="6B8B0BBE" w14:textId="77777777" w:rsidR="00755F9D" w:rsidRPr="00496C9F" w:rsidRDefault="00755F9D" w:rsidP="00755F9D">
      <w:pPr>
        <w:rPr>
          <w:rStyle w:val="IntenseReference"/>
          <w:rFonts w:ascii="Century Gothic" w:hAnsi="Century Gothic"/>
          <w:color w:val="852057"/>
        </w:rPr>
      </w:pPr>
      <w:r w:rsidRPr="00496C9F">
        <w:rPr>
          <w:rStyle w:val="IntenseReference"/>
          <w:rFonts w:ascii="Century Gothic" w:hAnsi="Century Gothic"/>
          <w:color w:val="852057"/>
        </w:rPr>
        <w:t>11. Approval &amp; Sign-off</w:t>
      </w:r>
    </w:p>
    <w:p w14:paraId="504E5BC1" w14:textId="77777777" w:rsidR="00755F9D" w:rsidRPr="00496C9F" w:rsidRDefault="00755F9D" w:rsidP="00755F9D">
      <w:pPr>
        <w:rPr>
          <w:rFonts w:ascii="Century Gothic" w:hAnsi="Century Gothic"/>
        </w:rPr>
      </w:pPr>
      <w:r w:rsidRPr="00496C9F">
        <w:rPr>
          <w:rFonts w:ascii="Century Gothic" w:hAnsi="Century Gothic"/>
        </w:rPr>
        <w:t>This charter authorizes the program to begin Phase 0. Progression into each subsequent phase requires Executive Sponsor sign-off against the exit criteria in Section 5.</w:t>
      </w:r>
    </w:p>
    <w:tbl>
      <w:tblPr>
        <w:tblStyle w:val="ListTable3-Accent1"/>
        <w:tblW w:w="5014" w:type="pct"/>
        <w:tblBorders>
          <w:top w:val="single" w:sz="4" w:space="0" w:color="F1C7DE"/>
          <w:left w:val="single" w:sz="4" w:space="0" w:color="F1C7DE"/>
          <w:bottom w:val="single" w:sz="4" w:space="0" w:color="F1C7DE"/>
          <w:right w:val="single" w:sz="4" w:space="0" w:color="F1C7DE"/>
          <w:insideH w:val="single" w:sz="4" w:space="0" w:color="F1C7DE"/>
        </w:tblBorders>
        <w:tblLook w:val="04A0" w:firstRow="1" w:lastRow="0" w:firstColumn="1" w:lastColumn="0" w:noHBand="0" w:noVBand="1"/>
      </w:tblPr>
      <w:tblGrid>
        <w:gridCol w:w="2814"/>
        <w:gridCol w:w="2813"/>
        <w:gridCol w:w="2813"/>
        <w:gridCol w:w="2380"/>
      </w:tblGrid>
      <w:tr w:rsidR="00755F9D" w:rsidRPr="00496C9F" w14:paraId="5690417E" w14:textId="77777777" w:rsidTr="001F15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00" w:type="pct"/>
            <w:tcBorders>
              <w:bottom w:val="none" w:sz="0" w:space="0" w:color="auto"/>
              <w:right w:val="none" w:sz="0" w:space="0" w:color="auto"/>
            </w:tcBorders>
            <w:shd w:val="clear" w:color="auto" w:fill="852057"/>
          </w:tcPr>
          <w:p w14:paraId="6922CBF5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Name</w:t>
            </w:r>
          </w:p>
        </w:tc>
        <w:tc>
          <w:tcPr>
            <w:tcW w:w="1300" w:type="pct"/>
            <w:shd w:val="clear" w:color="auto" w:fill="852057"/>
          </w:tcPr>
          <w:p w14:paraId="76F775D4" w14:textId="77777777" w:rsidR="00755F9D" w:rsidRPr="00496C9F" w:rsidRDefault="00755F9D" w:rsidP="00BB2D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Role</w:t>
            </w:r>
          </w:p>
        </w:tc>
        <w:tc>
          <w:tcPr>
            <w:tcW w:w="1300" w:type="pct"/>
            <w:shd w:val="clear" w:color="auto" w:fill="852057"/>
          </w:tcPr>
          <w:p w14:paraId="0E704193" w14:textId="77777777" w:rsidR="00755F9D" w:rsidRPr="00496C9F" w:rsidRDefault="00755F9D" w:rsidP="00BB2D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Signature</w:t>
            </w:r>
          </w:p>
        </w:tc>
        <w:tc>
          <w:tcPr>
            <w:tcW w:w="1100" w:type="pct"/>
            <w:shd w:val="clear" w:color="auto" w:fill="852057"/>
          </w:tcPr>
          <w:p w14:paraId="03906C1D" w14:textId="77777777" w:rsidR="00755F9D" w:rsidRPr="00496C9F" w:rsidRDefault="00755F9D" w:rsidP="00BB2D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Date</w:t>
            </w:r>
          </w:p>
        </w:tc>
      </w:tr>
      <w:tr w:rsidR="00755F9D" w:rsidRPr="00496C9F" w14:paraId="6CA6EAB3" w14:textId="77777777" w:rsidTr="001F15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72D5803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  <w:tc>
          <w:tcPr>
            <w:tcW w:w="1300" w:type="pct"/>
            <w:tcBorders>
              <w:top w:val="none" w:sz="0" w:space="0" w:color="auto"/>
              <w:bottom w:val="none" w:sz="0" w:space="0" w:color="auto"/>
            </w:tcBorders>
          </w:tcPr>
          <w:p w14:paraId="219651BE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Executive Sponsor</w:t>
            </w:r>
          </w:p>
        </w:tc>
        <w:tc>
          <w:tcPr>
            <w:tcW w:w="1300" w:type="pct"/>
            <w:tcBorders>
              <w:top w:val="none" w:sz="0" w:space="0" w:color="auto"/>
              <w:bottom w:val="none" w:sz="0" w:space="0" w:color="auto"/>
            </w:tcBorders>
          </w:tcPr>
          <w:p w14:paraId="1ECABA2C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  <w:tc>
          <w:tcPr>
            <w:tcW w:w="1100" w:type="pct"/>
            <w:tcBorders>
              <w:top w:val="none" w:sz="0" w:space="0" w:color="auto"/>
              <w:bottom w:val="none" w:sz="0" w:space="0" w:color="auto"/>
            </w:tcBorders>
          </w:tcPr>
          <w:p w14:paraId="6254DCC9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</w:tr>
      <w:tr w:rsidR="00755F9D" w:rsidRPr="00496C9F" w14:paraId="7C9FD2D7" w14:textId="77777777" w:rsidTr="001F1568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pct"/>
            <w:tcBorders>
              <w:right w:val="none" w:sz="0" w:space="0" w:color="auto"/>
            </w:tcBorders>
          </w:tcPr>
          <w:p w14:paraId="5A86D381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  <w:tc>
          <w:tcPr>
            <w:tcW w:w="1300" w:type="pct"/>
          </w:tcPr>
          <w:p w14:paraId="016CED16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IT / Security Leadership</w:t>
            </w:r>
          </w:p>
        </w:tc>
        <w:tc>
          <w:tcPr>
            <w:tcW w:w="1300" w:type="pct"/>
          </w:tcPr>
          <w:p w14:paraId="4AD003B6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  <w:tc>
          <w:tcPr>
            <w:tcW w:w="1100" w:type="pct"/>
          </w:tcPr>
          <w:p w14:paraId="292B4917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</w:tr>
      <w:tr w:rsidR="00755F9D" w:rsidRPr="00496C9F" w14:paraId="35B7183D" w14:textId="77777777" w:rsidTr="001F15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A6879FE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  <w:tc>
          <w:tcPr>
            <w:tcW w:w="1300" w:type="pct"/>
            <w:tcBorders>
              <w:top w:val="none" w:sz="0" w:space="0" w:color="auto"/>
              <w:bottom w:val="none" w:sz="0" w:space="0" w:color="auto"/>
            </w:tcBorders>
          </w:tcPr>
          <w:p w14:paraId="351CD0BA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Program Lead</w:t>
            </w:r>
          </w:p>
        </w:tc>
        <w:tc>
          <w:tcPr>
            <w:tcW w:w="1300" w:type="pct"/>
            <w:tcBorders>
              <w:top w:val="none" w:sz="0" w:space="0" w:color="auto"/>
              <w:bottom w:val="none" w:sz="0" w:space="0" w:color="auto"/>
            </w:tcBorders>
          </w:tcPr>
          <w:p w14:paraId="2D80460A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  <w:tc>
          <w:tcPr>
            <w:tcW w:w="1100" w:type="pct"/>
            <w:tcBorders>
              <w:top w:val="none" w:sz="0" w:space="0" w:color="auto"/>
              <w:bottom w:val="none" w:sz="0" w:space="0" w:color="auto"/>
            </w:tcBorders>
          </w:tcPr>
          <w:p w14:paraId="2D0BB8A3" w14:textId="77777777" w:rsidR="00755F9D" w:rsidRPr="00496C9F" w:rsidRDefault="00755F9D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</w:tr>
      <w:tr w:rsidR="00755F9D" w:rsidRPr="00496C9F" w14:paraId="7FDF1459" w14:textId="77777777" w:rsidTr="001F1568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pct"/>
            <w:tcBorders>
              <w:right w:val="none" w:sz="0" w:space="0" w:color="auto"/>
            </w:tcBorders>
          </w:tcPr>
          <w:p w14:paraId="4C299987" w14:textId="77777777" w:rsidR="00755F9D" w:rsidRPr="00496C9F" w:rsidRDefault="00755F9D" w:rsidP="00BB2D44">
            <w:pPr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  <w:tc>
          <w:tcPr>
            <w:tcW w:w="1300" w:type="pct"/>
          </w:tcPr>
          <w:p w14:paraId="72F3A0D0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[Additional Approver]</w:t>
            </w:r>
          </w:p>
        </w:tc>
        <w:tc>
          <w:tcPr>
            <w:tcW w:w="1300" w:type="pct"/>
          </w:tcPr>
          <w:p w14:paraId="076D446D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  <w:tc>
          <w:tcPr>
            <w:tcW w:w="1100" w:type="pct"/>
          </w:tcPr>
          <w:p w14:paraId="05E6BCA1" w14:textId="77777777" w:rsidR="00755F9D" w:rsidRPr="00496C9F" w:rsidRDefault="00755F9D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96C9F">
              <w:rPr>
                <w:rFonts w:ascii="Century Gothic" w:hAnsi="Century Gothic"/>
              </w:rPr>
              <w:t>[ ]</w:t>
            </w:r>
          </w:p>
        </w:tc>
      </w:tr>
    </w:tbl>
    <w:p w14:paraId="2C1C8C73" w14:textId="77777777" w:rsidR="00755F9D" w:rsidRPr="00496C9F" w:rsidRDefault="00755F9D" w:rsidP="00755F9D">
      <w:pPr>
        <w:rPr>
          <w:rFonts w:ascii="Century Gothic" w:hAnsi="Century Gothic"/>
        </w:rPr>
      </w:pPr>
    </w:p>
    <w:p w14:paraId="19E34C0B" w14:textId="77777777" w:rsidR="009C7C23" w:rsidRPr="00496C9F" w:rsidRDefault="009C7C23">
      <w:pPr>
        <w:rPr>
          <w:rFonts w:ascii="Century Gothic" w:hAnsi="Century Gothic"/>
        </w:rPr>
      </w:pPr>
    </w:p>
    <w:p w14:paraId="5BD1749A" w14:textId="77777777" w:rsidR="005A1D66" w:rsidRPr="00496C9F" w:rsidRDefault="005A1D66">
      <w:pPr>
        <w:rPr>
          <w:rFonts w:ascii="Century Gothic" w:hAnsi="Century Gothic"/>
        </w:rPr>
      </w:pPr>
    </w:p>
    <w:p w14:paraId="12B1DB5E" w14:textId="77777777" w:rsidR="005A1D66" w:rsidRPr="00496C9F" w:rsidRDefault="005A1D66">
      <w:pPr>
        <w:rPr>
          <w:rFonts w:ascii="Century Gothic" w:hAnsi="Century Gothic"/>
        </w:rPr>
      </w:pPr>
    </w:p>
    <w:p w14:paraId="4F5A402D" w14:textId="77777777" w:rsidR="005A1D66" w:rsidRPr="00496C9F" w:rsidRDefault="005A1D66">
      <w:pPr>
        <w:rPr>
          <w:rFonts w:ascii="Century Gothic" w:hAnsi="Century Gothic"/>
        </w:rPr>
      </w:pPr>
    </w:p>
    <w:p w14:paraId="08C1BC68" w14:textId="77777777" w:rsidR="005A1D66" w:rsidRPr="00496C9F" w:rsidRDefault="005A1D66">
      <w:pPr>
        <w:rPr>
          <w:rFonts w:ascii="Century Gothic" w:hAnsi="Century Gothic"/>
        </w:rPr>
      </w:pPr>
    </w:p>
    <w:p w14:paraId="5377D282" w14:textId="77777777" w:rsidR="005A1D66" w:rsidRPr="00496C9F" w:rsidRDefault="005A1D66">
      <w:pPr>
        <w:rPr>
          <w:rFonts w:ascii="Century Gothic" w:hAnsi="Century Gothic"/>
        </w:rPr>
      </w:pPr>
    </w:p>
    <w:p w14:paraId="72B4BC60" w14:textId="77777777" w:rsidR="005A1D66" w:rsidRPr="00496C9F" w:rsidRDefault="005A1D66">
      <w:pPr>
        <w:rPr>
          <w:rFonts w:ascii="Century Gothic" w:hAnsi="Century Gothic"/>
        </w:rPr>
      </w:pPr>
    </w:p>
    <w:p w14:paraId="45A7F830" w14:textId="77777777" w:rsidR="005A1D66" w:rsidRPr="00496C9F" w:rsidRDefault="005A1D66">
      <w:pPr>
        <w:rPr>
          <w:rFonts w:ascii="Century Gothic" w:hAnsi="Century Gothic"/>
        </w:rPr>
      </w:pPr>
    </w:p>
    <w:p w14:paraId="2590D140" w14:textId="77777777" w:rsidR="005A1D66" w:rsidRPr="00496C9F" w:rsidRDefault="005A1D66">
      <w:pPr>
        <w:rPr>
          <w:rFonts w:ascii="Century Gothic" w:hAnsi="Century Gothic"/>
        </w:rPr>
      </w:pPr>
    </w:p>
    <w:p w14:paraId="1EC7CC7D" w14:textId="77777777" w:rsidR="005A1D66" w:rsidRPr="00496C9F" w:rsidRDefault="005A1D66">
      <w:pPr>
        <w:rPr>
          <w:rFonts w:ascii="Century Gothic" w:hAnsi="Century Gothic"/>
        </w:rPr>
      </w:pPr>
    </w:p>
    <w:p w14:paraId="00941633" w14:textId="4C24648A" w:rsidR="005A1D66" w:rsidRPr="00496C9F" w:rsidRDefault="005A1D66">
      <w:pPr>
        <w:spacing w:line="278" w:lineRule="auto"/>
        <w:rPr>
          <w:rFonts w:ascii="Century Gothic" w:hAnsi="Century Gothic"/>
        </w:rPr>
      </w:pPr>
      <w:r w:rsidRPr="00496C9F">
        <w:rPr>
          <w:rFonts w:ascii="Century Gothic" w:hAnsi="Century Gothic"/>
        </w:rPr>
        <w:br w:type="page"/>
      </w:r>
    </w:p>
    <w:p w14:paraId="2B31DCF3" w14:textId="77777777" w:rsidR="005A1D66" w:rsidRPr="00496C9F" w:rsidRDefault="005A1D66">
      <w:pPr>
        <w:rPr>
          <w:rFonts w:ascii="Century Gothic" w:hAnsi="Century Gothic"/>
        </w:rPr>
      </w:pPr>
    </w:p>
    <w:p w14:paraId="2673452C" w14:textId="77777777" w:rsidR="005A1D66" w:rsidRPr="00496C9F" w:rsidRDefault="005A1D66">
      <w:pPr>
        <w:rPr>
          <w:rFonts w:ascii="Century Gothic" w:hAnsi="Century Gothic"/>
        </w:rPr>
      </w:pPr>
    </w:p>
    <w:p w14:paraId="2374C3C3" w14:textId="77777777" w:rsidR="0091781F" w:rsidRPr="00496C9F" w:rsidRDefault="0091781F" w:rsidP="0091781F">
      <w:pPr>
        <w:rPr>
          <w:rFonts w:ascii="Century Gothic" w:hAnsi="Century Gothic"/>
          <w:b/>
          <w:bCs/>
          <w:color w:val="852057"/>
        </w:rPr>
      </w:pPr>
    </w:p>
    <w:p w14:paraId="3EA5D68F" w14:textId="77777777" w:rsidR="0091781F" w:rsidRPr="00496C9F" w:rsidRDefault="0091781F" w:rsidP="0091781F">
      <w:pPr>
        <w:rPr>
          <w:rFonts w:ascii="Century Gothic" w:hAnsi="Century Gothic"/>
          <w:b/>
          <w:bCs/>
          <w:color w:val="852057"/>
        </w:rPr>
      </w:pPr>
    </w:p>
    <w:p w14:paraId="53930820" w14:textId="77777777" w:rsidR="0091781F" w:rsidRPr="00496C9F" w:rsidRDefault="0091781F" w:rsidP="0091781F">
      <w:pPr>
        <w:rPr>
          <w:rFonts w:ascii="Century Gothic" w:hAnsi="Century Gothic"/>
          <w:b/>
          <w:bCs/>
          <w:color w:val="852057"/>
        </w:rPr>
      </w:pPr>
    </w:p>
    <w:p w14:paraId="36023600" w14:textId="77777777" w:rsidR="0091781F" w:rsidRPr="00496C9F" w:rsidRDefault="0091781F" w:rsidP="0091781F">
      <w:pPr>
        <w:rPr>
          <w:rFonts w:ascii="Century Gothic" w:hAnsi="Century Gothic"/>
          <w:b/>
          <w:bCs/>
          <w:color w:val="852057"/>
        </w:rPr>
      </w:pPr>
    </w:p>
    <w:p w14:paraId="2BB6789F" w14:textId="77777777" w:rsidR="0091781F" w:rsidRPr="00496C9F" w:rsidRDefault="0091781F" w:rsidP="0091781F">
      <w:pPr>
        <w:rPr>
          <w:rFonts w:ascii="Century Gothic" w:hAnsi="Century Gothic"/>
          <w:b/>
          <w:bCs/>
          <w:color w:val="852057"/>
        </w:rPr>
      </w:pPr>
    </w:p>
    <w:p w14:paraId="795FFDDB" w14:textId="77777777" w:rsidR="0091781F" w:rsidRPr="00496C9F" w:rsidRDefault="0091781F" w:rsidP="0091781F">
      <w:pPr>
        <w:rPr>
          <w:rFonts w:ascii="Century Gothic" w:hAnsi="Century Gothic"/>
          <w:b/>
          <w:bCs/>
          <w:color w:val="852057"/>
        </w:rPr>
      </w:pPr>
    </w:p>
    <w:p w14:paraId="35015C54" w14:textId="77777777" w:rsidR="0091781F" w:rsidRPr="00496C9F" w:rsidRDefault="0091781F" w:rsidP="0091781F">
      <w:pPr>
        <w:rPr>
          <w:rFonts w:ascii="Century Gothic" w:hAnsi="Century Gothic"/>
          <w:b/>
          <w:bCs/>
          <w:color w:val="852057"/>
        </w:rPr>
      </w:pPr>
    </w:p>
    <w:p w14:paraId="56E7D897" w14:textId="77777777" w:rsidR="00745E62" w:rsidRPr="00496C9F" w:rsidRDefault="00745E62" w:rsidP="0091781F">
      <w:pPr>
        <w:rPr>
          <w:rFonts w:ascii="Century Gothic" w:hAnsi="Century Gothic"/>
          <w:b/>
          <w:bCs/>
          <w:color w:val="852057"/>
        </w:rPr>
      </w:pPr>
    </w:p>
    <w:p w14:paraId="4AC9BB46" w14:textId="77777777" w:rsidR="00745E62" w:rsidRPr="00496C9F" w:rsidRDefault="00745E62" w:rsidP="0091781F">
      <w:pPr>
        <w:rPr>
          <w:rFonts w:ascii="Century Gothic" w:hAnsi="Century Gothic"/>
          <w:b/>
          <w:bCs/>
          <w:color w:val="852057"/>
        </w:rPr>
      </w:pPr>
    </w:p>
    <w:p w14:paraId="16BAAD8F" w14:textId="77777777" w:rsidR="00745E62" w:rsidRPr="00496C9F" w:rsidRDefault="00745E62" w:rsidP="0091781F">
      <w:pPr>
        <w:rPr>
          <w:rFonts w:ascii="Century Gothic" w:hAnsi="Century Gothic"/>
          <w:b/>
          <w:bCs/>
          <w:color w:val="852057"/>
        </w:rPr>
      </w:pPr>
    </w:p>
    <w:p w14:paraId="46C7C158" w14:textId="77777777" w:rsidR="00745E62" w:rsidRPr="00496C9F" w:rsidRDefault="00745E62" w:rsidP="0091781F">
      <w:pPr>
        <w:rPr>
          <w:rFonts w:ascii="Century Gothic" w:hAnsi="Century Gothic"/>
          <w:b/>
          <w:bCs/>
          <w:color w:val="852057"/>
        </w:rPr>
      </w:pPr>
    </w:p>
    <w:p w14:paraId="5CF43D3D" w14:textId="77777777" w:rsidR="00745E62" w:rsidRPr="00496C9F" w:rsidRDefault="00745E62" w:rsidP="0091781F">
      <w:pPr>
        <w:rPr>
          <w:rFonts w:ascii="Century Gothic" w:hAnsi="Century Gothic"/>
          <w:b/>
          <w:bCs/>
          <w:color w:val="852057"/>
        </w:rPr>
      </w:pPr>
    </w:p>
    <w:p w14:paraId="094B117B" w14:textId="77777777" w:rsidR="00745E62" w:rsidRPr="00496C9F" w:rsidRDefault="00745E62" w:rsidP="0091781F">
      <w:pPr>
        <w:rPr>
          <w:rFonts w:ascii="Century Gothic" w:hAnsi="Century Gothic"/>
          <w:b/>
          <w:bCs/>
          <w:color w:val="852057"/>
        </w:rPr>
      </w:pPr>
    </w:p>
    <w:p w14:paraId="7B8CA252" w14:textId="77777777" w:rsidR="00745E62" w:rsidRPr="00496C9F" w:rsidRDefault="00745E62" w:rsidP="0091781F">
      <w:pPr>
        <w:rPr>
          <w:rFonts w:ascii="Century Gothic" w:hAnsi="Century Gothic"/>
          <w:b/>
          <w:bCs/>
          <w:color w:val="852057"/>
        </w:rPr>
      </w:pPr>
    </w:p>
    <w:p w14:paraId="67155AD4" w14:textId="77777777" w:rsidR="00745E62" w:rsidRPr="00496C9F" w:rsidRDefault="00745E62" w:rsidP="0091781F">
      <w:pPr>
        <w:rPr>
          <w:rFonts w:ascii="Century Gothic" w:hAnsi="Century Gothic"/>
          <w:b/>
          <w:bCs/>
          <w:color w:val="852057"/>
        </w:rPr>
      </w:pPr>
    </w:p>
    <w:p w14:paraId="76EC669C" w14:textId="77777777" w:rsidR="00745E62" w:rsidRPr="00496C9F" w:rsidRDefault="00745E62" w:rsidP="0091781F">
      <w:pPr>
        <w:rPr>
          <w:rFonts w:ascii="Century Gothic" w:hAnsi="Century Gothic"/>
          <w:b/>
          <w:bCs/>
          <w:color w:val="852057"/>
        </w:rPr>
      </w:pPr>
    </w:p>
    <w:p w14:paraId="5E24FDFB" w14:textId="77777777" w:rsidR="00745E62" w:rsidRPr="00496C9F" w:rsidRDefault="00745E62" w:rsidP="0091781F">
      <w:pPr>
        <w:rPr>
          <w:rFonts w:ascii="Century Gothic" w:hAnsi="Century Gothic"/>
          <w:b/>
          <w:bCs/>
          <w:color w:val="852057"/>
        </w:rPr>
      </w:pPr>
    </w:p>
    <w:p w14:paraId="78C0A240" w14:textId="77777777" w:rsidR="00745E62" w:rsidRPr="00496C9F" w:rsidRDefault="00745E62" w:rsidP="0091781F">
      <w:pPr>
        <w:rPr>
          <w:rFonts w:ascii="Century Gothic" w:hAnsi="Century Gothic"/>
          <w:b/>
          <w:bCs/>
          <w:color w:val="852057"/>
        </w:rPr>
      </w:pPr>
    </w:p>
    <w:p w14:paraId="31DE1D95" w14:textId="77777777" w:rsidR="00745E62" w:rsidRPr="00496C9F" w:rsidRDefault="00745E62" w:rsidP="0091781F">
      <w:pPr>
        <w:rPr>
          <w:rFonts w:ascii="Century Gothic" w:hAnsi="Century Gothic"/>
          <w:b/>
          <w:bCs/>
          <w:color w:val="852057"/>
        </w:rPr>
      </w:pPr>
    </w:p>
    <w:p w14:paraId="7172E7EF" w14:textId="77777777" w:rsidR="00745E62" w:rsidRPr="00496C9F" w:rsidRDefault="00745E62" w:rsidP="0091781F">
      <w:pPr>
        <w:rPr>
          <w:rFonts w:ascii="Century Gothic" w:hAnsi="Century Gothic"/>
          <w:b/>
          <w:bCs/>
          <w:color w:val="852057"/>
        </w:rPr>
      </w:pPr>
    </w:p>
    <w:p w14:paraId="77C3B60E" w14:textId="77777777" w:rsidR="00745E62" w:rsidRPr="00496C9F" w:rsidRDefault="00745E62" w:rsidP="0091781F">
      <w:pPr>
        <w:rPr>
          <w:rFonts w:ascii="Century Gothic" w:hAnsi="Century Gothic"/>
          <w:b/>
          <w:bCs/>
          <w:color w:val="852057"/>
        </w:rPr>
      </w:pPr>
    </w:p>
    <w:p w14:paraId="3211BBE3" w14:textId="2A2C2070" w:rsidR="0091781F" w:rsidRPr="00496C9F" w:rsidRDefault="0091781F" w:rsidP="0091781F">
      <w:pPr>
        <w:rPr>
          <w:rFonts w:ascii="Century Gothic" w:hAnsi="Century Gothic"/>
          <w:b/>
          <w:bCs/>
          <w:color w:val="852057"/>
        </w:rPr>
      </w:pPr>
      <w:r w:rsidRPr="00496C9F">
        <w:rPr>
          <w:rFonts w:ascii="Century Gothic" w:hAnsi="Century Gothic"/>
          <w:b/>
          <w:bCs/>
          <w:color w:val="852057"/>
        </w:rPr>
        <w:t>About the Contributing Author</w:t>
      </w:r>
    </w:p>
    <w:p w14:paraId="6D61C343" w14:textId="7DE502CB" w:rsidR="0091781F" w:rsidRPr="00496C9F" w:rsidRDefault="0091781F" w:rsidP="0091781F">
      <w:pPr>
        <w:spacing w:after="0"/>
        <w:rPr>
          <w:rFonts w:ascii="Century Gothic" w:hAnsi="Century Gothic"/>
          <w:color w:val="3B4D59"/>
        </w:rPr>
      </w:pPr>
      <w:r w:rsidRPr="00496C9F">
        <w:rPr>
          <w:rFonts w:ascii="Century Gothic" w:hAnsi="Century Gothic"/>
        </w:rPr>
        <w:t>Contributed by</w:t>
      </w:r>
      <w:r w:rsidRPr="00496C9F">
        <w:rPr>
          <w:rFonts w:ascii="Century Gothic" w:hAnsi="Century Gothic"/>
          <w:b/>
          <w:bCs/>
        </w:rPr>
        <w:t xml:space="preserve"> </w:t>
      </w:r>
      <w:hyperlink r:id="rId11" w:history="1">
        <w:r w:rsidR="000407F7" w:rsidRPr="00496C9F">
          <w:rPr>
            <w:rStyle w:val="Hyperlink"/>
            <w:rFonts w:ascii="Century Gothic" w:hAnsi="Century Gothic"/>
            <w:color w:val="852057"/>
          </w:rPr>
          <w:t>Cliff Varnadoe</w:t>
        </w:r>
      </w:hyperlink>
      <w:r w:rsidR="000407F7" w:rsidRPr="00496C9F">
        <w:rPr>
          <w:rFonts w:ascii="Century Gothic" w:hAnsi="Century Gothic"/>
        </w:rPr>
        <w:t xml:space="preserve">, Director, US Federal &amp; Enterprise of SonicWall </w:t>
      </w:r>
      <w:r w:rsidRPr="00496C9F">
        <w:rPr>
          <w:rFonts w:ascii="Century Gothic" w:hAnsi="Century Gothic"/>
        </w:rPr>
        <w:t xml:space="preserve">for Logically’s cybersecurity summit, LogicON. </w:t>
      </w:r>
    </w:p>
    <w:p w14:paraId="5A8CCC56" w14:textId="77777777" w:rsidR="0091781F" w:rsidRPr="00496C9F" w:rsidRDefault="0091781F" w:rsidP="0091781F">
      <w:pPr>
        <w:rPr>
          <w:rFonts w:ascii="Century Gothic" w:hAnsi="Century Gothic"/>
          <w:b/>
          <w:bCs/>
          <w:color w:val="852057"/>
        </w:rPr>
      </w:pPr>
      <w:r w:rsidRPr="00496C9F">
        <w:rPr>
          <w:rFonts w:ascii="Century Gothic" w:hAnsi="Century Gothic"/>
          <w:b/>
          <w:bCs/>
          <w:color w:val="3B4D59"/>
        </w:rPr>
        <w:br/>
      </w:r>
      <w:r w:rsidRPr="00496C9F">
        <w:rPr>
          <w:rFonts w:ascii="Century Gothic" w:hAnsi="Century Gothic"/>
          <w:b/>
          <w:bCs/>
          <w:color w:val="852057"/>
        </w:rPr>
        <w:t>About Logically</w:t>
      </w:r>
    </w:p>
    <w:p w14:paraId="6687E7C4" w14:textId="77777777" w:rsidR="0091781F" w:rsidRPr="00496C9F" w:rsidRDefault="0091781F" w:rsidP="0091781F">
      <w:pPr>
        <w:rPr>
          <w:rFonts w:ascii="Century Gothic" w:hAnsi="Century Gothic"/>
        </w:rPr>
      </w:pPr>
      <w:r w:rsidRPr="00496C9F">
        <w:rPr>
          <w:rFonts w:ascii="Century Gothic" w:hAnsi="Century Gothic"/>
        </w:rPr>
        <w:t>Close the Gap with Logically, the Next-Gen MSP Logically unifies IT operations and cybersecurity into one accountable operating model, providing shared visibility, coordinated response, and clearer control. Modern IT and multi-layered security from one partner, built into an integrated operating model that attackers can’t exploit and traditional MSPs can’t match.</w:t>
      </w:r>
    </w:p>
    <w:p w14:paraId="15F0F2CE" w14:textId="5C2EC5A8" w:rsidR="005A1D66" w:rsidRPr="00496C9F" w:rsidRDefault="0091781F">
      <w:pPr>
        <w:rPr>
          <w:rFonts w:ascii="Century Gothic" w:hAnsi="Century Gothic"/>
        </w:rPr>
      </w:pPr>
      <w:r w:rsidRPr="00496C9F">
        <w:rPr>
          <w:rFonts w:ascii="Century Gothic" w:hAnsi="Century Gothic"/>
        </w:rPr>
        <w:t xml:space="preserve">Visit </w:t>
      </w:r>
      <w:hyperlink r:id="rId12" w:history="1">
        <w:r w:rsidRPr="00496C9F">
          <w:rPr>
            <w:rStyle w:val="Hyperlink"/>
            <w:rFonts w:ascii="Century Gothic" w:hAnsi="Century Gothic"/>
            <w:color w:val="852057"/>
          </w:rPr>
          <w:t>www.logically.com</w:t>
        </w:r>
      </w:hyperlink>
      <w:r w:rsidRPr="00496C9F">
        <w:rPr>
          <w:rFonts w:ascii="Century Gothic" w:hAnsi="Century Gothic"/>
        </w:rPr>
        <w:t xml:space="preserve"> to learn more.</w:t>
      </w:r>
    </w:p>
    <w:sectPr w:rsidR="005A1D66" w:rsidRPr="00496C9F" w:rsidSect="00755F9D">
      <w:headerReference w:type="default" r:id="rId13"/>
      <w:footerReference w:type="even" r:id="rId14"/>
      <w:footerReference w:type="default" r:id="rId15"/>
      <w:footerReference w:type="first" r:id="rId16"/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F35E1" w14:textId="77777777" w:rsidR="00A04AE3" w:rsidRDefault="00A04AE3" w:rsidP="00755F9D">
      <w:pPr>
        <w:spacing w:after="0" w:line="240" w:lineRule="auto"/>
      </w:pPr>
      <w:r>
        <w:separator/>
      </w:r>
    </w:p>
  </w:endnote>
  <w:endnote w:type="continuationSeparator" w:id="0">
    <w:p w14:paraId="655574F2" w14:textId="77777777" w:rsidR="00A04AE3" w:rsidRDefault="00A04AE3" w:rsidP="00755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7C547" w14:textId="6F59DC02" w:rsidR="001F1568" w:rsidRDefault="001F15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55B21" w14:textId="0E4E707D" w:rsidR="001F1568" w:rsidRDefault="001F15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6268C" w14:textId="3ED8797C" w:rsidR="001F1568" w:rsidRDefault="001F15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A2B43" w14:textId="77777777" w:rsidR="00A04AE3" w:rsidRDefault="00A04AE3" w:rsidP="00755F9D">
      <w:pPr>
        <w:spacing w:after="0" w:line="240" w:lineRule="auto"/>
      </w:pPr>
      <w:r>
        <w:separator/>
      </w:r>
    </w:p>
  </w:footnote>
  <w:footnote w:type="continuationSeparator" w:id="0">
    <w:p w14:paraId="7FA76416" w14:textId="77777777" w:rsidR="00A04AE3" w:rsidRDefault="00A04AE3" w:rsidP="00755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4EE07" w14:textId="0D828C82" w:rsidR="00755F9D" w:rsidRDefault="00755F9D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6455211B" wp14:editId="778741D3">
          <wp:simplePos x="0" y="0"/>
          <wp:positionH relativeFrom="column">
            <wp:posOffset>5451231</wp:posOffset>
          </wp:positionH>
          <wp:positionV relativeFrom="paragraph">
            <wp:posOffset>40193</wp:posOffset>
          </wp:positionV>
          <wp:extent cx="1478821" cy="312742"/>
          <wp:effectExtent l="0" t="0" r="0" b="0"/>
          <wp:wrapNone/>
          <wp:docPr id="437901550" name="Picture 6" descr="A purpl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8693669" name="Picture 6" descr="A purple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8821" cy="3127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0429665" wp14:editId="669E28BE">
              <wp:simplePos x="0" y="0"/>
              <wp:positionH relativeFrom="column">
                <wp:posOffset>-455351</wp:posOffset>
              </wp:positionH>
              <wp:positionV relativeFrom="paragraph">
                <wp:posOffset>-457200</wp:posOffset>
              </wp:positionV>
              <wp:extent cx="7772746" cy="374072"/>
              <wp:effectExtent l="0" t="0" r="0" b="6985"/>
              <wp:wrapNone/>
              <wp:docPr id="14304939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746" cy="374072"/>
                      </a:xfrm>
                      <a:prstGeom prst="rect">
                        <a:avLst/>
                      </a:prstGeom>
                      <a:solidFill>
                        <a:srgbClr val="8520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5E00AD2" id="Rectangle 7" o:spid="_x0000_s1026" style="position:absolute;margin-left:-35.85pt;margin-top:-36pt;width:612.05pt;height:29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" fillcolor="#852057" stroked="f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6338F"/>
    <w:multiLevelType w:val="hybridMultilevel"/>
    <w:tmpl w:val="333AB95E"/>
    <w:lvl w:ilvl="0" w:tplc="52423022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 w16cid:durableId="1085494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F9D"/>
    <w:rsid w:val="000407F7"/>
    <w:rsid w:val="001F1568"/>
    <w:rsid w:val="002F272F"/>
    <w:rsid w:val="00427C95"/>
    <w:rsid w:val="00496C9F"/>
    <w:rsid w:val="004C38A0"/>
    <w:rsid w:val="005A1D66"/>
    <w:rsid w:val="00745E62"/>
    <w:rsid w:val="00755F9D"/>
    <w:rsid w:val="007A3AD4"/>
    <w:rsid w:val="00874390"/>
    <w:rsid w:val="0091781F"/>
    <w:rsid w:val="009C7C23"/>
    <w:rsid w:val="00A04AE3"/>
    <w:rsid w:val="00B25D9D"/>
    <w:rsid w:val="00C757F9"/>
    <w:rsid w:val="00D55E18"/>
    <w:rsid w:val="00D961BA"/>
    <w:rsid w:val="00E31956"/>
    <w:rsid w:val="00EF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27D6C"/>
  <w15:chartTrackingRefBased/>
  <w15:docId w15:val="{E1BBD49E-8105-4AB8-AA57-5698B8D18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F9D"/>
    <w:pPr>
      <w:spacing w:line="259" w:lineRule="auto"/>
    </w:pPr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5F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5F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F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F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F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F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F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F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F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F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55F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5F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F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F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F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F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F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F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5F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5F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F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5F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5F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5F9D"/>
    <w:rPr>
      <w:i/>
      <w:iCs/>
      <w:color w:val="404040" w:themeColor="text1" w:themeTint="BF"/>
    </w:rPr>
  </w:style>
  <w:style w:type="paragraph" w:styleId="ListParagraph">
    <w:name w:val="List Paragraph"/>
    <w:aliases w:val="Arial"/>
    <w:basedOn w:val="Normal"/>
    <w:uiPriority w:val="34"/>
    <w:qFormat/>
    <w:rsid w:val="00755F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5F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F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F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5F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55F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F9D"/>
  </w:style>
  <w:style w:type="paragraph" w:styleId="Footer">
    <w:name w:val="footer"/>
    <w:basedOn w:val="Normal"/>
    <w:link w:val="FooterChar"/>
    <w:uiPriority w:val="99"/>
    <w:unhideWhenUsed/>
    <w:rsid w:val="00755F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F9D"/>
  </w:style>
  <w:style w:type="table" w:styleId="ListTable3-Accent1">
    <w:name w:val="List Table 3 Accent 1"/>
    <w:basedOn w:val="TableNormal"/>
    <w:uiPriority w:val="48"/>
    <w:rsid w:val="00755F9D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9178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5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logically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inkedin.com/in/cvarnadoe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AAE6C963B51845BEE9D65D6C02075F" ma:contentTypeVersion="41" ma:contentTypeDescription="Create a new document." ma:contentTypeScope="" ma:versionID="a78c600df1949f67a2d6f6c86a6777af">
  <xsd:schema xmlns:xsd="http://www.w3.org/2001/XMLSchema" xmlns:xs="http://www.w3.org/2001/XMLSchema" xmlns:p="http://schemas.microsoft.com/office/2006/metadata/properties" xmlns:ns1="http://schemas.microsoft.com/sharepoint/v3" xmlns:ns2="6c1b7030-56c1-442d-b1bf-b37da5377a28" xmlns:ns3="d71ff751-5df5-4e2d-b4d6-3e06a7935677" targetNamespace="http://schemas.microsoft.com/office/2006/metadata/properties" ma:root="true" ma:fieldsID="1162b9427078ef6aa75fd23453d269a4" ns1:_="" ns2:_="" ns3:_="">
    <xsd:import namespace="http://schemas.microsoft.com/sharepoint/v3"/>
    <xsd:import namespace="6c1b7030-56c1-442d-b1bf-b37da5377a28"/>
    <xsd:import namespace="d71ff751-5df5-4e2d-b4d6-3e06a793567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2:_dlc_DocId" minOccurs="0"/>
                <xsd:element ref="ns2:_dlc_DocIdUrl" minOccurs="0"/>
                <xsd:element ref="ns2:_dlc_DocIdPersistId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Publish" minOccurs="0"/>
                <xsd:element ref="ns3:n82ffee569ce40c88ebfdd7da1595c46" minOccurs="0"/>
                <xsd:element ref="ns2:TaxCatchAll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  <xsd:element ref="ns3:MediaServiceBillingMetadata" minOccurs="0"/>
                <xsd:element ref="ns3:l5955b7449b44d38aebe3da5cdd8b784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b7030-56c1-442d-b1bf-b37da5377a2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b690f215-6722-43da-bd1e-8ea4acad95bf}" ma:internalName="TaxCatchAll" ma:showField="CatchAllData" ma:web="6c1b7030-56c1-442d-b1bf-b37da5377a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ff751-5df5-4e2d-b4d6-3e06a79356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Publish" ma:index="23" nillable="true" ma:displayName="Publish" ma:default="0" ma:description="Sync to showpad" ma:format="Dropdown" ma:internalName="Publish">
      <xsd:simpleType>
        <xsd:restriction base="dms:Boolean"/>
      </xsd:simpleType>
    </xsd:element>
    <xsd:element name="n82ffee569ce40c88ebfdd7da1595c46" ma:index="25" nillable="true" ma:taxonomy="true" ma:internalName="n82ffee569ce40c88ebfdd7da1595c46" ma:taxonomyFieldName="Showpad_x0020_tags2" ma:displayName="Showpad Tags" ma:readOnly="false" ma:default="" ma:fieldId="{782ffee5-69ce-40c8-8ebf-dd7da1595c46}" ma:taxonomyMulti="true" ma:sspId="3dee6cce-fe9d-451d-a7f1-7ef8239c5365" ma:termSetId="107a1388-a1f0-4480-8f92-c9f1cb53fadc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LengthInSeconds" ma:index="2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3dee6cce-fe9d-451d-a7f1-7ef8239c53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  <xsd:element name="l5955b7449b44d38aebe3da5cdd8b784" ma:index="36" nillable="true" ma:taxonomy="true" ma:internalName="l5955b7449b44d38aebe3da5cdd8b784" ma:taxonomyFieldName="Marketing_x0020_Tags" ma:displayName="Marketing Tags" ma:default="" ma:fieldId="{55955b74-49b4-4d38-aebe-3da5cdd8b784}" ma:sspId="3dee6cce-fe9d-451d-a7f1-7ef8239c5365" ma:termSetId="34dd5ba5-1703-482a-af55-a2d61c6ff32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Publish xmlns="d71ff751-5df5-4e2d-b4d6-3e06a7935677">false</Publish>
    <lcf76f155ced4ddcb4097134ff3c332f xmlns="d71ff751-5df5-4e2d-b4d6-3e06a7935677">
      <Terms xmlns="http://schemas.microsoft.com/office/infopath/2007/PartnerControls"/>
    </lcf76f155ced4ddcb4097134ff3c332f>
    <l5955b7449b44d38aebe3da5cdd8b784 xmlns="d71ff751-5df5-4e2d-b4d6-3e06a7935677">
      <Terms xmlns="http://schemas.microsoft.com/office/infopath/2007/PartnerControls"/>
    </l5955b7449b44d38aebe3da5cdd8b784>
    <_ip_UnifiedCompliancePolicyProperties xmlns="http://schemas.microsoft.com/sharepoint/v3" xsi:nil="true"/>
    <n82ffee569ce40c88ebfdd7da1595c46 xmlns="d71ff751-5df5-4e2d-b4d6-3e06a7935677">
      <Terms xmlns="http://schemas.microsoft.com/office/infopath/2007/PartnerControls"/>
    </n82ffee569ce40c88ebfdd7da1595c46>
    <TaxCatchAll xmlns="6c1b7030-56c1-442d-b1bf-b37da5377a28" xsi:nil="true"/>
    <_dlc_DocId xmlns="6c1b7030-56c1-442d-b1bf-b37da5377a28">JEEPAK4S4PY7-2064327088-18378</_dlc_DocId>
    <_dlc_DocIdUrl xmlns="6c1b7030-56c1-442d-b1bf-b37da5377a28">
      <Url>https://winxnet.sharepoint.com/sites/NewArchive/departments/salesandmarketing/marketing/_layouts/15/DocIdRedir.aspx?ID=JEEPAK4S4PY7-2064327088-18378</Url>
      <Description>JEEPAK4S4PY7-2064327088-18378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29C50E7-29DB-4D3C-866C-95C04300B8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c1b7030-56c1-442d-b1bf-b37da5377a28"/>
    <ds:schemaRef ds:uri="d71ff751-5df5-4e2d-b4d6-3e06a79356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ECA202-C011-4DCB-8570-EE50F60D54E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71ff751-5df5-4e2d-b4d6-3e06a7935677"/>
    <ds:schemaRef ds:uri="6c1b7030-56c1-442d-b1bf-b37da5377a28"/>
  </ds:schemaRefs>
</ds:datastoreItem>
</file>

<file path=customXml/itemProps3.xml><?xml version="1.0" encoding="utf-8"?>
<ds:datastoreItem xmlns:ds="http://schemas.openxmlformats.org/officeDocument/2006/customXml" ds:itemID="{4BB0CD72-247E-4907-A3A5-766442B7C3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D83169-626B-4C4A-BFC0-8BE6A6F50EC0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8582074e-e1ec-452d-b5bd-691366068573}" enabled="1" method="Privileged" siteId="{f2ad197b-b296-4938-bfff-0db3f914bc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1390</Words>
  <Characters>7926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Pricci</dc:creator>
  <cp:keywords/>
  <dc:description/>
  <cp:lastModifiedBy>MJ Patent</cp:lastModifiedBy>
  <cp:revision>8</cp:revision>
  <dcterms:created xsi:type="dcterms:W3CDTF">2026-10-21T16:24:00Z</dcterms:created>
  <dcterms:modified xsi:type="dcterms:W3CDTF">2026-10-22T21:13:00Z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0x010100EDAAE6C963B51845BEE9D65D6C02075F</vt:lpwstr>
  </property>
  <property fmtid="{D5CDD505-2E9C-101B-9397-08002B2CF9AE}" pid="3" name="_dlc_DocIdItemGuid">
    <vt:lpwstr>913bcc05-14f1-402a-a3a3-cfec23e31a77</vt:lpwstr>
  </property>
  <property fmtid="{D5CDD505-2E9C-101B-9397-08002B2CF9AE}" pid="4" name="Marketing Tags">
    <vt:lpwstr/>
  </property>
  <property fmtid="{D5CDD505-2E9C-101B-9397-08002B2CF9AE}" pid="5" name="MediaServiceImageTags">
    <vt:lpwstr/>
  </property>
  <property fmtid="{D5CDD505-2E9C-101B-9397-08002B2CF9AE}" pid="6" name="Showpad tags2">
    <vt:lpwstr/>
  </property>
  <property fmtid="{D5CDD505-2E9C-101B-9397-08002B2CF9AE}" pid="7" name="Marketing_x0020_Tags">
    <vt:lpwstr/>
  </property>
  <property fmtid="{D5CDD505-2E9C-101B-9397-08002B2CF9AE}" pid="8" name="Showpad_x0020_tags2">
    <vt:lpwstr/>
  </property>
</Properties>
</file>