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497AA" w14:textId="7E4C59D1" w:rsidR="00AF36AF" w:rsidRPr="006C1EB0" w:rsidRDefault="00FD7FE7" w:rsidP="00A27CD6">
      <w:pPr>
        <w:pStyle w:val="Heading1"/>
        <w:rPr>
          <w:rFonts w:ascii="Century Gothic" w:hAnsi="Century Gothic"/>
        </w:rPr>
      </w:pPr>
      <w:bookmarkStart w:id="0" w:name="_Toc241417094"/>
      <w:r w:rsidRPr="006C1EB0">
        <w:rPr>
          <w:rFonts w:ascii="Century Gothic" w:hAnsi="Century Gothic"/>
        </w:rPr>
        <w:t>The Practical Compliance Roadmap</w:t>
      </w:r>
      <w:bookmarkEnd w:id="0"/>
    </w:p>
    <w:p w14:paraId="2DBB2EE6" w14:textId="665FAE61" w:rsidR="007B1751" w:rsidRPr="006C1EB0" w:rsidRDefault="43170B09" w:rsidP="5EE80EEC">
      <w:pPr>
        <w:widowControl w:val="0"/>
        <w:autoSpaceDE w:val="0"/>
        <w:autoSpaceDN w:val="0"/>
        <w:spacing w:before="240" w:after="0" w:line="240" w:lineRule="auto"/>
        <w:rPr>
          <w:rStyle w:val="SubtleReference"/>
          <w:rFonts w:ascii="Century Gothic" w:eastAsia="Century Gothic" w:hAnsi="Century Gothic" w:cs="Century Gothic"/>
        </w:rPr>
      </w:pPr>
      <w:r w:rsidRPr="5EE80EEC">
        <w:rPr>
          <w:rStyle w:val="SubtleReference"/>
          <w:rFonts w:ascii="Century Gothic" w:eastAsia="Century Gothic" w:hAnsi="Century Gothic" w:cs="Century Gothic"/>
        </w:rPr>
        <w:t xml:space="preserve">A field guide to governing your controls. Works with </w:t>
      </w:r>
      <w:hyperlink r:id="rId11">
        <w:r w:rsidRPr="00243879">
          <w:rPr>
            <w:rStyle w:val="Hyperlink"/>
            <w:rFonts w:ascii="Century Gothic" w:eastAsia="Century Gothic" w:hAnsi="Century Gothic" w:cs="Century Gothic"/>
            <w:color w:val="852057"/>
          </w:rPr>
          <w:t>ISO 27001</w:t>
        </w:r>
      </w:hyperlink>
      <w:r w:rsidRPr="5EE80EEC">
        <w:rPr>
          <w:rStyle w:val="SubtleReference"/>
          <w:rFonts w:ascii="Century Gothic" w:eastAsia="Century Gothic" w:hAnsi="Century Gothic" w:cs="Century Gothic"/>
        </w:rPr>
        <w:t xml:space="preserve">, </w:t>
      </w:r>
      <w:hyperlink r:id="rId12">
        <w:r w:rsidRPr="00243879">
          <w:rPr>
            <w:rStyle w:val="Hyperlink"/>
            <w:rFonts w:ascii="Century Gothic" w:eastAsia="Century Gothic" w:hAnsi="Century Gothic" w:cs="Century Gothic"/>
            <w:color w:val="852057"/>
          </w:rPr>
          <w:t>SOC 2</w:t>
        </w:r>
      </w:hyperlink>
      <w:r w:rsidRPr="5EE80EEC">
        <w:rPr>
          <w:rStyle w:val="SubtleReference"/>
          <w:rFonts w:ascii="Century Gothic" w:eastAsia="Century Gothic" w:hAnsi="Century Gothic" w:cs="Century Gothic"/>
        </w:rPr>
        <w:t xml:space="preserve">, or </w:t>
      </w:r>
      <w:hyperlink r:id="rId13">
        <w:r w:rsidRPr="00243879">
          <w:rPr>
            <w:rStyle w:val="Hyperlink"/>
            <w:rFonts w:ascii="Century Gothic" w:eastAsia="Century Gothic" w:hAnsi="Century Gothic" w:cs="Century Gothic"/>
            <w:color w:val="852057"/>
          </w:rPr>
          <w:t>CMMC</w:t>
        </w:r>
      </w:hyperlink>
      <w:r w:rsidRPr="5EE80EEC">
        <w:rPr>
          <w:rStyle w:val="SubtleReference"/>
          <w:rFonts w:ascii="Century Gothic" w:eastAsia="Century Gothic" w:hAnsi="Century Gothic" w:cs="Century Gothic"/>
        </w:rPr>
        <w:t>.</w:t>
      </w:r>
    </w:p>
    <w:p w14:paraId="0102F4BE" w14:textId="05E73D50" w:rsidR="00AF36AF" w:rsidRPr="006C1EB0" w:rsidRDefault="00FD7FE7" w:rsidP="007B1751">
      <w:pPr>
        <w:widowControl w:val="0"/>
        <w:autoSpaceDE w:val="0"/>
        <w:autoSpaceDN w:val="0"/>
        <w:spacing w:before="240" w:after="0" w:line="240" w:lineRule="auto"/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Security vs. Compliance</w:t>
      </w:r>
    </w:p>
    <w:p w14:paraId="6973BF90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>Security is what you do. Compliance is proving it.</w:t>
      </w:r>
    </w:p>
    <w:tbl>
      <w:tblPr>
        <w:tblW w:w="10224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2"/>
        <w:gridCol w:w="5112"/>
      </w:tblGrid>
      <w:tr w:rsidR="007B1751" w:rsidRPr="006C1EB0" w14:paraId="5006D9AC" w14:textId="77777777" w:rsidTr="002E6BA5">
        <w:tc>
          <w:tcPr>
            <w:tcW w:w="511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71DC47A9" w14:textId="5C539FCC" w:rsidR="00AF36AF" w:rsidRPr="006C1EB0" w:rsidRDefault="00FD7FE7">
            <w:pPr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color w:val="852057"/>
              </w:rPr>
              <w:t>Security: what you do</w:t>
            </w:r>
          </w:p>
          <w:p w14:paraId="5808518C" w14:textId="2AB61B60" w:rsidR="007B1751" w:rsidRPr="006C1EB0" w:rsidRDefault="002E6BA5" w:rsidP="002E6BA5">
            <w:pPr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 xml:space="preserve">The controls, tools, and practices that </w:t>
            </w:r>
            <w:proofErr w:type="gramStart"/>
            <w:r w:rsidRPr="006C1EB0">
              <w:rPr>
                <w:rFonts w:ascii="Century Gothic" w:hAnsi="Century Gothic"/>
                <w:color w:val="55666C"/>
              </w:rPr>
              <w:t>actually protect</w:t>
            </w:r>
            <w:proofErr w:type="gramEnd"/>
            <w:r w:rsidRPr="006C1EB0">
              <w:rPr>
                <w:rFonts w:ascii="Century Gothic" w:hAnsi="Century Gothic"/>
                <w:color w:val="55666C"/>
              </w:rPr>
              <w:t xml:space="preserve"> your systems and data.</w:t>
            </w:r>
          </w:p>
        </w:tc>
        <w:tc>
          <w:tcPr>
            <w:tcW w:w="5112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2D4C7D" w14:textId="4107383C" w:rsidR="00AF36AF" w:rsidRPr="006C1EB0" w:rsidRDefault="00FD7FE7" w:rsidP="00BB2D44">
            <w:pPr>
              <w:rPr>
                <w:rFonts w:ascii="Century Gothic" w:hAnsi="Century Gothic"/>
                <w:color w:val="156082" w:themeColor="accent1"/>
              </w:rPr>
            </w:pPr>
            <w:r w:rsidRPr="006C1EB0">
              <w:rPr>
                <w:rFonts w:ascii="Century Gothic" w:hAnsi="Century Gothic"/>
                <w:b/>
                <w:color w:val="852057"/>
              </w:rPr>
              <w:t>Compliance: proving it</w:t>
            </w:r>
          </w:p>
          <w:p w14:paraId="2EDC2F14" w14:textId="77777777" w:rsidR="007B1751" w:rsidRPr="006C1EB0" w:rsidRDefault="007B1751" w:rsidP="00BB2D44">
            <w:pPr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Documenting those controls and showing them to an auditor, a customer, or an insurer.</w:t>
            </w:r>
          </w:p>
        </w:tc>
      </w:tr>
    </w:tbl>
    <w:p w14:paraId="31D9794C" w14:textId="77777777" w:rsidR="007B1751" w:rsidRPr="006C1EB0" w:rsidRDefault="007B1751" w:rsidP="007B1751">
      <w:pPr>
        <w:spacing w:before="240" w:after="0"/>
        <w:rPr>
          <w:rFonts w:ascii="Century Gothic" w:hAnsi="Century Gothic"/>
        </w:rPr>
      </w:pPr>
      <w:r w:rsidRPr="006C1EB0">
        <w:rPr>
          <w:rFonts w:ascii="Century Gothic" w:hAnsi="Century Gothic"/>
        </w:rPr>
        <w:t xml:space="preserve">You can be secure and still fail an audit. You can pass an audit and still not be secure. </w:t>
      </w:r>
    </w:p>
    <w:p w14:paraId="7F0F1BF7" w14:textId="4BB971F2" w:rsidR="00AF36AF" w:rsidRPr="006C1EB0" w:rsidRDefault="00FD7FE7" w:rsidP="007B1751">
      <w:pPr>
        <w:rPr>
          <w:rFonts w:ascii="Century Gothic" w:hAnsi="Century Gothic"/>
          <w:b/>
          <w:bCs/>
          <w:color w:val="156082" w:themeColor="accent1"/>
        </w:rPr>
      </w:pPr>
      <w:r w:rsidRPr="006C1EB0">
        <w:rPr>
          <w:rFonts w:ascii="Century Gothic" w:hAnsi="Century Gothic"/>
          <w:b/>
          <w:color w:val="852057"/>
        </w:rPr>
        <w:t>The goal is both, and the structure is what holds them together.</w:t>
      </w:r>
    </w:p>
    <w:p w14:paraId="01B0DE40" w14:textId="50226A80" w:rsidR="00AF36AF" w:rsidRPr="006C1EB0" w:rsidRDefault="00FD7FE7" w:rsidP="007B1751">
      <w:pPr>
        <w:widowControl w:val="0"/>
        <w:autoSpaceDE w:val="0"/>
        <w:autoSpaceDN w:val="0"/>
        <w:spacing w:before="240" w:after="0" w:line="240" w:lineRule="auto"/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Governance</w:t>
      </w:r>
    </w:p>
    <w:tbl>
      <w:tblPr>
        <w:tblW w:w="102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6"/>
        <w:gridCol w:w="3606"/>
        <w:gridCol w:w="3412"/>
      </w:tblGrid>
      <w:tr w:rsidR="007B1751" w:rsidRPr="006C1EB0" w14:paraId="3327E80D" w14:textId="77777777" w:rsidTr="00A30700">
        <w:tc>
          <w:tcPr>
            <w:tcW w:w="0" w:type="auto"/>
            <w:tcBorders>
              <w:top w:val="single" w:sz="24" w:space="0" w:color="852057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5D33B98" w14:textId="591686B6" w:rsidR="00AF36AF" w:rsidRPr="006C1EB0" w:rsidRDefault="00FD7FE7">
            <w:pPr>
              <w:spacing w:after="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color w:val="852057"/>
              </w:rPr>
              <w:t>1. Ownership</w:t>
            </w:r>
          </w:p>
          <w:p w14:paraId="03A21276" w14:textId="309EA997" w:rsidR="00AF36AF" w:rsidRPr="006C1EB0" w:rsidRDefault="00FD7FE7">
            <w:pPr>
              <w:spacing w:before="30" w:after="24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i/>
                <w:color w:val="852057"/>
              </w:rPr>
              <w:t>Who owns this control?</w:t>
            </w:r>
          </w:p>
          <w:p w14:paraId="60F94BBE" w14:textId="7BAADCFB" w:rsidR="007B1751" w:rsidRPr="006C1EB0" w:rsidRDefault="004E55A9" w:rsidP="004E55A9">
            <w:pPr>
              <w:jc w:val="center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000000"/>
              </w:rPr>
              <w:t>One accountable name for every control, never “IT” as a department.</w:t>
            </w:r>
          </w:p>
        </w:tc>
        <w:tc>
          <w:tcPr>
            <w:tcW w:w="0" w:type="auto"/>
            <w:tcBorders>
              <w:top w:val="single" w:sz="24" w:space="0" w:color="852057"/>
              <w:left w:val="nil"/>
              <w:bottom w:val="single" w:sz="4" w:space="0" w:color="DFE5E3"/>
              <w:right w:val="single" w:sz="4" w:space="0" w:color="DFE5E3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666396B" w14:textId="11369DAD" w:rsidR="00AF36AF" w:rsidRPr="006C1EB0" w:rsidRDefault="00FD7FE7">
            <w:pPr>
              <w:spacing w:after="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color w:val="852057"/>
              </w:rPr>
              <w:t>2. Cadence</w:t>
            </w:r>
          </w:p>
          <w:p w14:paraId="5AB58BF2" w14:textId="70BB1448" w:rsidR="00AF36AF" w:rsidRPr="006C1EB0" w:rsidRDefault="00FD7FE7">
            <w:pPr>
              <w:spacing w:before="30" w:after="24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i/>
                <w:color w:val="852057"/>
              </w:rPr>
              <w:t>How often is it checked?</w:t>
            </w:r>
          </w:p>
          <w:p w14:paraId="2D7F2D2D" w14:textId="01C6A719" w:rsidR="007B1751" w:rsidRPr="006C1EB0" w:rsidRDefault="00347CCC" w:rsidP="00347CCC">
            <w:pPr>
              <w:jc w:val="center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</w:rPr>
              <w:t>Someone reviews status on a schedule, monthly or quarterly, not when an audit is looming.</w:t>
            </w:r>
          </w:p>
        </w:tc>
        <w:tc>
          <w:tcPr>
            <w:tcW w:w="0" w:type="auto"/>
            <w:tcBorders>
              <w:top w:val="single" w:sz="24" w:space="0" w:color="852057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72650E12" w14:textId="028F6646" w:rsidR="00AF36AF" w:rsidRPr="006C1EB0" w:rsidRDefault="00FD7FE7">
            <w:pPr>
              <w:spacing w:after="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color w:val="852057"/>
              </w:rPr>
              <w:t>3. Escalation</w:t>
            </w:r>
          </w:p>
          <w:p w14:paraId="29D9AC59" w14:textId="50AC5AC3" w:rsidR="00AF36AF" w:rsidRPr="006C1EB0" w:rsidRDefault="00FD7FE7">
            <w:pPr>
              <w:spacing w:before="30" w:after="24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i/>
                <w:color w:val="852057"/>
              </w:rPr>
              <w:t>Who hears when it slips?</w:t>
            </w:r>
          </w:p>
          <w:p w14:paraId="658ED255" w14:textId="1EB59ACA" w:rsidR="007B1751" w:rsidRPr="006C1EB0" w:rsidRDefault="00A30700" w:rsidP="00A30700">
            <w:pPr>
              <w:jc w:val="center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000000"/>
              </w:rPr>
              <w:t>A defined person is told before a gap becomes a finding, an incident, or a lost deal.</w:t>
            </w:r>
          </w:p>
        </w:tc>
      </w:tr>
      <w:tr w:rsidR="007B1751" w:rsidRPr="006C1EB0" w14:paraId="5B7E7D70" w14:textId="77777777" w:rsidTr="00BB2D44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c>
          <w:tcPr>
            <w:tcW w:w="0" w:type="auto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FE1BD5" w14:textId="77777777" w:rsidR="007B1751" w:rsidRPr="006C1EB0" w:rsidRDefault="007B1751" w:rsidP="00BB2D44">
            <w:pPr>
              <w:rPr>
                <w:rFonts w:ascii="Century Gothic" w:hAnsi="Century Gothic"/>
                <w:sz w:val="24"/>
                <w:szCs w:val="24"/>
              </w:rPr>
            </w:pPr>
            <w:r w:rsidRPr="006C1EB0">
              <w:rPr>
                <w:rFonts w:ascii="Century Gothic" w:hAnsi="Century Gothic"/>
              </w:rPr>
              <w:t xml:space="preserve">Every framework, insurer requirement, and customer questionnaire </w:t>
            </w:r>
            <w:proofErr w:type="gramStart"/>
            <w:r w:rsidRPr="006C1EB0">
              <w:rPr>
                <w:rFonts w:ascii="Century Gothic" w:hAnsi="Century Gothic"/>
              </w:rPr>
              <w:t>is asking</w:t>
            </w:r>
            <w:proofErr w:type="gramEnd"/>
            <w:r w:rsidRPr="006C1EB0">
              <w:rPr>
                <w:rFonts w:ascii="Century Gothic" w:hAnsi="Century Gothic"/>
              </w:rPr>
              <w:t xml:space="preserve"> these same three questions.</w:t>
            </w:r>
            <w:r w:rsidRPr="006C1EB0">
              <w:rPr>
                <w:rFonts w:ascii="Century Gothic" w:hAnsi="Century Gothic"/>
                <w:b/>
                <w:bCs/>
              </w:rPr>
              <w:t xml:space="preserve"> </w:t>
            </w:r>
            <w:r w:rsidRPr="006C1EB0">
              <w:rPr>
                <w:rFonts w:ascii="Century Gothic" w:hAnsi="Century Gothic"/>
              </w:rPr>
              <w:t>The rest of this guide is how to answer them.</w:t>
            </w:r>
          </w:p>
        </w:tc>
      </w:tr>
    </w:tbl>
    <w:p w14:paraId="1E9F2155" w14:textId="476C1249" w:rsidR="00AF36AF" w:rsidRPr="006C1EB0" w:rsidRDefault="00FD7FE7" w:rsidP="007B1751">
      <w:pPr>
        <w:widowControl w:val="0"/>
        <w:autoSpaceDE w:val="0"/>
        <w:autoSpaceDN w:val="0"/>
        <w:spacing w:before="240" w:after="0" w:line="240" w:lineRule="auto"/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The Compliance Roadmap at a Glance</w:t>
      </w: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"/>
        <w:gridCol w:w="1504"/>
        <w:gridCol w:w="386"/>
        <w:gridCol w:w="1383"/>
        <w:gridCol w:w="327"/>
        <w:gridCol w:w="1442"/>
        <w:gridCol w:w="358"/>
        <w:gridCol w:w="1411"/>
        <w:gridCol w:w="389"/>
        <w:gridCol w:w="1178"/>
        <w:gridCol w:w="532"/>
        <w:gridCol w:w="1440"/>
      </w:tblGrid>
      <w:tr w:rsidR="007B1751" w:rsidRPr="006C1EB0" w14:paraId="17499691" w14:textId="77777777" w:rsidTr="5EE80EEC">
        <w:tc>
          <w:tcPr>
            <w:tcW w:w="265" w:type="dxa"/>
            <w:tcBorders>
              <w:top w:val="single" w:sz="24" w:space="0" w:color="852057"/>
              <w:left w:val="single" w:sz="4" w:space="0" w:color="DFE5E3"/>
              <w:bottom w:val="single" w:sz="24" w:space="0" w:color="852057"/>
              <w:right w:val="single" w:sz="2" w:space="0" w:color="FFFFFF" w:themeColor="background1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9CE8614" w14:textId="3F38B25E" w:rsidR="007B1751" w:rsidRPr="006C1EB0" w:rsidRDefault="002533D7" w:rsidP="002533D7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:sz w:val="36"/>
                <w:szCs w:val="36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  <w:sz w:val="36"/>
                <w:szCs w:val="36"/>
              </w:rPr>
              <w:t xml:space="preserve">1 </w:t>
            </w:r>
          </w:p>
        </w:tc>
        <w:tc>
          <w:tcPr>
            <w:tcW w:w="1504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4" w:space="0" w:color="DFE5E3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FAA30D" w14:textId="62625EA7" w:rsidR="007B1751" w:rsidRPr="006C1EB0" w:rsidRDefault="0072600C" w:rsidP="0072600C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</w:rPr>
              <w:t>Scope</w:t>
            </w:r>
          </w:p>
        </w:tc>
        <w:tc>
          <w:tcPr>
            <w:tcW w:w="386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2" w:space="0" w:color="FFFFFF" w:themeColor="background1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44E183E" w14:textId="6293300C" w:rsidR="007B1751" w:rsidRPr="006C1EB0" w:rsidRDefault="002A6C2B" w:rsidP="002A6C2B">
            <w:pPr>
              <w:spacing w:after="0"/>
              <w:jc w:val="center"/>
              <w:rPr>
                <w:rFonts w:ascii="Century Gothic" w:eastAsia="Arial" w:hAnsi="Century Gothic" w:cs="Arial"/>
                <w:b/>
                <w:bCs/>
                <w:color w:val="156082" w:themeColor="accent1"/>
                <w:kern w:val="0"/>
                <w:sz w:val="36"/>
                <w:szCs w:val="36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  <w:sz w:val="36"/>
                <w:szCs w:val="36"/>
              </w:rPr>
              <w:t xml:space="preserve">2 </w:t>
            </w:r>
          </w:p>
        </w:tc>
        <w:tc>
          <w:tcPr>
            <w:tcW w:w="1383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4" w:space="0" w:color="DFE5E3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04D94B" w14:textId="0F1CC6AE" w:rsidR="007B1751" w:rsidRPr="006C1EB0" w:rsidRDefault="003565EA" w:rsidP="003565EA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</w:rPr>
              <w:t>Gap Analysis</w:t>
            </w:r>
          </w:p>
        </w:tc>
        <w:tc>
          <w:tcPr>
            <w:tcW w:w="327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2" w:space="0" w:color="FFFFFF" w:themeColor="background1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6C10D2C2" w14:textId="5B478EA6" w:rsidR="007B1751" w:rsidRPr="006C1EB0" w:rsidRDefault="00943666" w:rsidP="00943666">
            <w:pPr>
              <w:spacing w:after="0"/>
              <w:jc w:val="center"/>
              <w:rPr>
                <w:rFonts w:ascii="Century Gothic" w:eastAsia="Arial" w:hAnsi="Century Gothic" w:cs="Arial"/>
                <w:b/>
                <w:bCs/>
                <w:color w:val="156082" w:themeColor="accent1"/>
                <w:kern w:val="0"/>
                <w:sz w:val="36"/>
                <w:szCs w:val="36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  <w:sz w:val="36"/>
                <w:szCs w:val="36"/>
              </w:rPr>
              <w:t xml:space="preserve">3 </w:t>
            </w:r>
          </w:p>
        </w:tc>
        <w:tc>
          <w:tcPr>
            <w:tcW w:w="1442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4" w:space="0" w:color="DFE5E3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724561" w14:textId="621BE366" w:rsidR="007B1751" w:rsidRPr="006C1EB0" w:rsidRDefault="00E26369" w:rsidP="00E26369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</w:rPr>
              <w:t xml:space="preserve">Prioritize &amp; </w:t>
            </w:r>
            <w:proofErr w:type="gramStart"/>
            <w:r w:rsidRPr="006C1EB0">
              <w:rPr>
                <w:rFonts w:ascii="Century Gothic" w:hAnsi="Century Gothic"/>
                <w:b/>
                <w:bCs/>
                <w:color w:val="852057"/>
              </w:rPr>
              <w:t>Remediate</w:t>
            </w:r>
            <w:proofErr w:type="gramEnd"/>
          </w:p>
        </w:tc>
        <w:tc>
          <w:tcPr>
            <w:tcW w:w="358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2" w:space="0" w:color="FFFFFF" w:themeColor="background1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26DC702F" w14:textId="3CCBDC29" w:rsidR="007B1751" w:rsidRPr="006C1EB0" w:rsidRDefault="00E36DC4" w:rsidP="00E36DC4">
            <w:pPr>
              <w:spacing w:after="0"/>
              <w:jc w:val="center"/>
              <w:rPr>
                <w:rFonts w:ascii="Century Gothic" w:eastAsia="Arial" w:hAnsi="Century Gothic" w:cs="Arial"/>
                <w:b/>
                <w:bCs/>
                <w:color w:val="156082" w:themeColor="accent1"/>
                <w:kern w:val="0"/>
                <w:sz w:val="36"/>
                <w:szCs w:val="36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  <w:sz w:val="36"/>
                <w:szCs w:val="36"/>
              </w:rPr>
              <w:t xml:space="preserve">4 </w:t>
            </w:r>
          </w:p>
        </w:tc>
        <w:tc>
          <w:tcPr>
            <w:tcW w:w="1411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4" w:space="0" w:color="DFE5E3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C87BA9" w14:textId="448FD3FF" w:rsidR="007B1751" w:rsidRPr="006C1EB0" w:rsidRDefault="00C124D5" w:rsidP="00C124D5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</w:rPr>
              <w:t>Document &amp; Implement</w:t>
            </w:r>
          </w:p>
        </w:tc>
        <w:tc>
          <w:tcPr>
            <w:tcW w:w="389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2" w:space="0" w:color="FFFFFF" w:themeColor="background1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33CF243" w14:textId="38DB6C63" w:rsidR="007B1751" w:rsidRPr="006C1EB0" w:rsidRDefault="00C6629F" w:rsidP="00C6629F">
            <w:pPr>
              <w:spacing w:after="0"/>
              <w:jc w:val="center"/>
              <w:rPr>
                <w:rFonts w:ascii="Century Gothic" w:eastAsia="Arial" w:hAnsi="Century Gothic" w:cs="Arial"/>
                <w:b/>
                <w:bCs/>
                <w:color w:val="156082" w:themeColor="accent1"/>
                <w:kern w:val="0"/>
                <w:sz w:val="36"/>
                <w:szCs w:val="36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  <w:sz w:val="36"/>
                <w:szCs w:val="36"/>
              </w:rPr>
              <w:t xml:space="preserve">5 </w:t>
            </w:r>
          </w:p>
        </w:tc>
        <w:tc>
          <w:tcPr>
            <w:tcW w:w="1178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4" w:space="0" w:color="DFE5E3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129B48" w14:textId="0350FD23" w:rsidR="00AF36AF" w:rsidRPr="006C1EB0" w:rsidRDefault="00FD7FE7">
            <w:pPr>
              <w:spacing w:after="0"/>
              <w:jc w:val="center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color w:val="852057"/>
              </w:rPr>
              <w:t xml:space="preserve">Audit / </w:t>
            </w:r>
          </w:p>
          <w:p w14:paraId="20DA3FB6" w14:textId="28143334" w:rsidR="007B1751" w:rsidRPr="006C1EB0" w:rsidRDefault="00B709D4" w:rsidP="00B709D4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</w:rPr>
              <w:t>Certify</w:t>
            </w:r>
          </w:p>
        </w:tc>
        <w:tc>
          <w:tcPr>
            <w:tcW w:w="532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2" w:space="0" w:color="FFFFFF" w:themeColor="background1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6FCAEE46" w14:textId="23383BB3" w:rsidR="007B1751" w:rsidRPr="006C1EB0" w:rsidRDefault="00DA0531" w:rsidP="00DA0531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  <w:sz w:val="36"/>
                <w:szCs w:val="36"/>
              </w:rPr>
              <w:t>6</w:t>
            </w:r>
            <w:r w:rsidRPr="006C1EB0">
              <w:rPr>
                <w:rFonts w:ascii="Century Gothic" w:hAnsi="Century Gothic"/>
                <w:b/>
                <w:bCs/>
                <w:color w:val="852057"/>
              </w:rPr>
              <w:t xml:space="preserve"> </w:t>
            </w:r>
          </w:p>
        </w:tc>
        <w:tc>
          <w:tcPr>
            <w:tcW w:w="1440" w:type="dxa"/>
            <w:tcBorders>
              <w:top w:val="single" w:sz="24" w:space="0" w:color="852057"/>
              <w:left w:val="nil"/>
              <w:bottom w:val="single" w:sz="24" w:space="0" w:color="852057"/>
              <w:right w:val="single" w:sz="4" w:space="0" w:color="DFE5E3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23E65E" w14:textId="0C8B2CC2" w:rsidR="007B1751" w:rsidRPr="006C1EB0" w:rsidRDefault="00040D73" w:rsidP="00040D73">
            <w:pPr>
              <w:spacing w:after="0"/>
              <w:jc w:val="center"/>
              <w:rPr>
                <w:rFonts w:ascii="Century Gothic" w:eastAsia="Arial" w:hAnsi="Century Gothic" w:cs="Arial"/>
                <w:color w:val="156082" w:themeColor="accent1"/>
                <w:kern w:val="0"/>
                <w14:ligatures w14:val="none"/>
              </w:rPr>
            </w:pPr>
            <w:r w:rsidRPr="006C1EB0">
              <w:rPr>
                <w:rFonts w:ascii="Century Gothic" w:hAnsi="Century Gothic"/>
                <w:b/>
                <w:bCs/>
                <w:color w:val="852057"/>
              </w:rPr>
              <w:t xml:space="preserve">Maintain &amp; </w:t>
            </w:r>
            <w:proofErr w:type="gramStart"/>
            <w:r w:rsidRPr="006C1EB0">
              <w:rPr>
                <w:rFonts w:ascii="Century Gothic" w:hAnsi="Century Gothic"/>
                <w:b/>
                <w:bCs/>
                <w:color w:val="852057"/>
              </w:rPr>
              <w:t>Cross-Walk</w:t>
            </w:r>
            <w:proofErr w:type="gramEnd"/>
          </w:p>
        </w:tc>
      </w:tr>
      <w:tr w:rsidR="007B1751" w:rsidRPr="006C1EB0" w14:paraId="270EFC75" w14:textId="77777777" w:rsidTr="5EE80EEC">
        <w:trPr>
          <w:trHeight w:val="1035"/>
        </w:trPr>
        <w:tc>
          <w:tcPr>
            <w:tcW w:w="1769" w:type="dxa"/>
            <w:gridSpan w:val="2"/>
            <w:tcBorders>
              <w:top w:val="single" w:sz="24" w:space="0" w:color="1697A8"/>
              <w:left w:val="single" w:sz="4" w:space="0" w:color="DFE5E3"/>
              <w:bottom w:val="nil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21FA29" w14:textId="77777777" w:rsidR="007B1751" w:rsidRPr="006C1EB0" w:rsidRDefault="007B1751" w:rsidP="00BB2D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i/>
                <w:iCs/>
                <w:color w:val="116868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i/>
                <w:iCs/>
                <w:color w:val="55666C"/>
                <w:kern w:val="0"/>
                <w:sz w:val="18"/>
                <w:szCs w:val="18"/>
                <w14:ligatures w14:val="none"/>
              </w:rPr>
              <w:t>Know what you protect and who owns it.</w:t>
            </w:r>
          </w:p>
        </w:tc>
        <w:tc>
          <w:tcPr>
            <w:tcW w:w="1769" w:type="dxa"/>
            <w:gridSpan w:val="2"/>
            <w:tcBorders>
              <w:top w:val="single" w:sz="24" w:space="0" w:color="1697A8"/>
              <w:left w:val="single" w:sz="4" w:space="0" w:color="DFE5E3"/>
              <w:bottom w:val="nil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86EDA9" w14:textId="77777777" w:rsidR="007B1751" w:rsidRPr="006C1EB0" w:rsidRDefault="007B1751" w:rsidP="00BB2D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i/>
                <w:iCs/>
                <w:color w:val="116868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i/>
                <w:iCs/>
                <w:color w:val="55666C"/>
                <w:kern w:val="0"/>
                <w:sz w:val="18"/>
                <w:szCs w:val="18"/>
                <w14:ligatures w14:val="none"/>
              </w:rPr>
              <w:t>Map current state to your framework.</w:t>
            </w:r>
          </w:p>
        </w:tc>
        <w:tc>
          <w:tcPr>
            <w:tcW w:w="1769" w:type="dxa"/>
            <w:gridSpan w:val="2"/>
            <w:tcBorders>
              <w:top w:val="single" w:sz="24" w:space="0" w:color="1697A8"/>
              <w:left w:val="single" w:sz="4" w:space="0" w:color="DFE5E3"/>
              <w:bottom w:val="nil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581C20" w14:textId="77777777" w:rsidR="007B1751" w:rsidRPr="006C1EB0" w:rsidRDefault="007B1751" w:rsidP="00BB2D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i/>
                <w:iCs/>
                <w:color w:val="116868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i/>
                <w:iCs/>
                <w:color w:val="55666C"/>
                <w:kern w:val="0"/>
                <w:sz w:val="18"/>
                <w:szCs w:val="18"/>
                <w14:ligatures w14:val="none"/>
              </w:rPr>
              <w:t>Basics first, ordered by risk.</w:t>
            </w:r>
          </w:p>
        </w:tc>
        <w:tc>
          <w:tcPr>
            <w:tcW w:w="1769" w:type="dxa"/>
            <w:gridSpan w:val="2"/>
            <w:tcBorders>
              <w:top w:val="single" w:sz="24" w:space="0" w:color="156082" w:themeColor="accent1"/>
              <w:left w:val="single" w:sz="4" w:space="0" w:color="DFE5E3"/>
              <w:bottom w:val="nil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3BC627" w14:textId="77777777" w:rsidR="007B1751" w:rsidRPr="006C1EB0" w:rsidRDefault="007B1751" w:rsidP="00BB2D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i/>
                <w:iCs/>
                <w:color w:val="116868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i/>
                <w:iCs/>
                <w:color w:val="55666C"/>
                <w:kern w:val="0"/>
                <w:sz w:val="18"/>
                <w:szCs w:val="18"/>
                <w14:ligatures w14:val="none"/>
              </w:rPr>
              <w:t>Governance, policy, procedure, process.</w:t>
            </w:r>
          </w:p>
        </w:tc>
        <w:tc>
          <w:tcPr>
            <w:tcW w:w="1567" w:type="dxa"/>
            <w:gridSpan w:val="2"/>
            <w:tcBorders>
              <w:top w:val="single" w:sz="24" w:space="0" w:color="156082" w:themeColor="accent1"/>
              <w:left w:val="single" w:sz="4" w:space="0" w:color="DFE5E3"/>
              <w:bottom w:val="nil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2D876D" w14:textId="77777777" w:rsidR="007B1751" w:rsidRPr="006C1EB0" w:rsidRDefault="007B1751" w:rsidP="00BB2D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i/>
                <w:iCs/>
                <w:color w:val="C7376A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i/>
                <w:iCs/>
                <w:color w:val="55666C"/>
                <w:kern w:val="0"/>
                <w:sz w:val="18"/>
                <w:szCs w:val="18"/>
                <w14:ligatures w14:val="none"/>
              </w:rPr>
              <w:t>Optional. Only if a contract requires it.</w:t>
            </w:r>
          </w:p>
        </w:tc>
        <w:tc>
          <w:tcPr>
            <w:tcW w:w="1972" w:type="dxa"/>
            <w:gridSpan w:val="2"/>
            <w:tcBorders>
              <w:top w:val="single" w:sz="24" w:space="0" w:color="156082" w:themeColor="accent1"/>
              <w:left w:val="single" w:sz="4" w:space="0" w:color="DFE5E3"/>
              <w:bottom w:val="nil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B168D1" w14:textId="77777777" w:rsidR="007B1751" w:rsidRPr="006C1EB0" w:rsidRDefault="007B1751" w:rsidP="00BB2D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i/>
                <w:iCs/>
                <w:color w:val="116868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i/>
                <w:iCs/>
                <w:color w:val="55666C"/>
                <w:kern w:val="0"/>
                <w:sz w:val="18"/>
                <w:szCs w:val="18"/>
                <w14:ligatures w14:val="none"/>
              </w:rPr>
              <w:t>Keep the cadence. Map to what is next.</w:t>
            </w:r>
          </w:p>
        </w:tc>
      </w:tr>
      <w:tr w:rsidR="007B1751" w:rsidRPr="006C1EB0" w14:paraId="4390CF03" w14:textId="77777777" w:rsidTr="5EE80EEC">
        <w:trPr>
          <w:trHeight w:val="1136"/>
        </w:trPr>
        <w:tc>
          <w:tcPr>
            <w:tcW w:w="1769" w:type="dxa"/>
            <w:gridSpan w:val="2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F7E8F4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Data </w:t>
            </w:r>
          </w:p>
          <w:p w14:paraId="35B080F4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Systems </w:t>
            </w:r>
          </w:p>
          <w:p w14:paraId="4F4FDFD7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People </w:t>
            </w:r>
          </w:p>
          <w:p w14:paraId="464B14B8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Sensitive Data </w:t>
            </w:r>
          </w:p>
          <w:p w14:paraId="4966B9F9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Business Units </w:t>
            </w:r>
          </w:p>
          <w:p w14:paraId="6F92C3B7" w14:textId="77777777" w:rsidR="007B1751" w:rsidRPr="006C1EB0" w:rsidRDefault="43170B09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>Locations</w:t>
            </w:r>
          </w:p>
        </w:tc>
        <w:tc>
          <w:tcPr>
            <w:tcW w:w="1769" w:type="dxa"/>
            <w:gridSpan w:val="2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6B4029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Map what exists to the framework </w:t>
            </w:r>
          </w:p>
          <w:p w14:paraId="69894852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Assign owner to each finding </w:t>
            </w:r>
          </w:p>
          <w:p w14:paraId="23636C5C" w14:textId="77777777" w:rsidR="007B1751" w:rsidRPr="006C1EB0" w:rsidRDefault="43170B09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>Risk &amp; BIA Assessment</w:t>
            </w:r>
          </w:p>
        </w:tc>
        <w:tc>
          <w:tcPr>
            <w:tcW w:w="1769" w:type="dxa"/>
            <w:gridSpan w:val="2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40D91E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Basics First </w:t>
            </w:r>
          </w:p>
          <w:p w14:paraId="2AD6299E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Prioritized by Risk </w:t>
            </w:r>
          </w:p>
          <w:p w14:paraId="75076471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Close Each Gap </w:t>
            </w:r>
          </w:p>
          <w:p w14:paraId="59798D4A" w14:textId="77777777" w:rsidR="007B1751" w:rsidRPr="006C1EB0" w:rsidRDefault="43170B09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>On a Review Cadence</w:t>
            </w:r>
          </w:p>
        </w:tc>
        <w:tc>
          <w:tcPr>
            <w:tcW w:w="1769" w:type="dxa"/>
            <w:gridSpan w:val="2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2E2B72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Governance </w:t>
            </w:r>
          </w:p>
          <w:p w14:paraId="31458CE8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Policy </w:t>
            </w:r>
          </w:p>
          <w:p w14:paraId="543B679D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Procedure </w:t>
            </w:r>
          </w:p>
          <w:p w14:paraId="0602C8E2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Process </w:t>
            </w:r>
          </w:p>
          <w:p w14:paraId="33E12739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Controls </w:t>
            </w:r>
          </w:p>
          <w:p w14:paraId="2935AEDE" w14:textId="77777777" w:rsidR="007B1751" w:rsidRPr="006C1EB0" w:rsidRDefault="43170B09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>Failure Pattern</w:t>
            </w:r>
          </w:p>
        </w:tc>
        <w:tc>
          <w:tcPr>
            <w:tcW w:w="1567" w:type="dxa"/>
            <w:gridSpan w:val="2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8239D1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Optional External Audit </w:t>
            </w:r>
          </w:p>
          <w:p w14:paraId="1DF0BF20" w14:textId="3AB86CDB" w:rsidR="007B1751" w:rsidRPr="006C1EB0" w:rsidRDefault="43170B09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>Third-Party validated</w:t>
            </w:r>
            <w:r w:rsidR="29670A9B"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proof </w:t>
            </w:r>
          </w:p>
          <w:p w14:paraId="4AA201DB" w14:textId="489E880E" w:rsidR="007B1751" w:rsidRPr="006C1EB0" w:rsidRDefault="43170B09" w:rsidP="5EE80EEC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</w:pPr>
            <w:r w:rsidRPr="5EE80EEC">
              <w:rPr>
                <w:rFonts w:ascii="Century Gothic" w:eastAsia="Arial" w:hAnsi="Century Gothic" w:cs="Arial"/>
                <w:color w:val="55666C"/>
                <w:sz w:val="18"/>
                <w:szCs w:val="18"/>
              </w:rPr>
              <w:t xml:space="preserve">If contract </w:t>
            </w:r>
          </w:p>
        </w:tc>
        <w:tc>
          <w:tcPr>
            <w:tcW w:w="1972" w:type="dxa"/>
            <w:gridSpan w:val="2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2E1463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Governance Cadence </w:t>
            </w:r>
          </w:p>
          <w:p w14:paraId="36D0EE09" w14:textId="77777777" w:rsidR="007B1751" w:rsidRPr="006C1EB0" w:rsidRDefault="007B1751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 xml:space="preserve">Permanently Mapped </w:t>
            </w:r>
          </w:p>
          <w:p w14:paraId="65673608" w14:textId="77777777" w:rsidR="007B1751" w:rsidRPr="006C1EB0" w:rsidRDefault="43170B09" w:rsidP="007B1751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after="0" w:line="240" w:lineRule="auto"/>
              <w:ind w:left="247" w:hanging="270"/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</w:pPr>
            <w:r w:rsidRPr="006C1EB0">
              <w:rPr>
                <w:rFonts w:ascii="Century Gothic" w:eastAsia="Arial" w:hAnsi="Century Gothic" w:cs="Arial"/>
                <w:color w:val="55666C"/>
                <w:kern w:val="0"/>
                <w:sz w:val="18"/>
                <w:szCs w:val="18"/>
                <w14:ligatures w14:val="none"/>
              </w:rPr>
              <w:t>Outward to New Frameworks</w:t>
            </w:r>
          </w:p>
        </w:tc>
      </w:tr>
    </w:tbl>
    <w:p w14:paraId="25627477" w14:textId="77777777" w:rsidR="007B1751" w:rsidRPr="006C1EB0" w:rsidRDefault="007B1751" w:rsidP="007B1751">
      <w:pPr>
        <w:widowControl w:val="0"/>
        <w:autoSpaceDE w:val="0"/>
        <w:autoSpaceDN w:val="0"/>
        <w:spacing w:after="0" w:line="240" w:lineRule="auto"/>
        <w:rPr>
          <w:rFonts w:ascii="Century Gothic" w:eastAsia="Arial" w:hAnsi="Century Gothic" w:cs="Arial"/>
          <w:b/>
          <w:bCs/>
          <w:noProof/>
          <w:color w:val="0F766E"/>
          <w:kern w:val="0"/>
          <w:sz w:val="22"/>
          <w:szCs w:val="22"/>
          <w14:ligatures w14:val="none"/>
        </w:rPr>
      </w:pPr>
    </w:p>
    <w:p w14:paraId="4D1AD2EB" w14:textId="77777777" w:rsidR="007B1751" w:rsidRPr="006C1EB0" w:rsidRDefault="007B1751" w:rsidP="007B1751">
      <w:pPr>
        <w:rPr>
          <w:rFonts w:ascii="Century Gothic" w:eastAsia="Arial" w:hAnsi="Century Gothic" w:cs="Arial"/>
          <w:b/>
          <w:bCs/>
          <w:noProof/>
          <w:color w:val="0F766E"/>
          <w:kern w:val="0"/>
          <w:sz w:val="22"/>
          <w:szCs w:val="22"/>
          <w14:ligatures w14:val="none"/>
        </w:rPr>
      </w:pPr>
      <w:r w:rsidRPr="006C1EB0">
        <w:rPr>
          <w:rFonts w:ascii="Century Gothic" w:eastAsia="Arial" w:hAnsi="Century Gothic" w:cs="Arial"/>
          <w:b/>
          <w:bCs/>
          <w:noProof/>
          <w:color w:val="0F766E"/>
          <w:kern w:val="0"/>
          <w:sz w:val="22"/>
          <w:szCs w:val="22"/>
          <w14:ligatures w14:val="none"/>
        </w:rPr>
        <w:br w:type="page"/>
      </w:r>
    </w:p>
    <w:p w14:paraId="191A6B79" w14:textId="167456D5" w:rsidR="00AF36AF" w:rsidRPr="006C1EB0" w:rsidRDefault="00FD7FE7" w:rsidP="007B1751">
      <w:pPr>
        <w:widowControl w:val="0"/>
        <w:autoSpaceDE w:val="0"/>
        <w:autoSpaceDN w:val="0"/>
        <w:spacing w:after="0" w:line="240" w:lineRule="auto"/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lastRenderedPageBreak/>
        <w:t>Baseline Check: Are The Basics In Place?</w:t>
      </w:r>
    </w:p>
    <w:p w14:paraId="2599BC3A" w14:textId="77777777" w:rsidR="007B1751" w:rsidRPr="006C1EB0" w:rsidRDefault="007B1751" w:rsidP="007B1751">
      <w:pPr>
        <w:rPr>
          <w:rFonts w:ascii="Century Gothic" w:hAnsi="Century Gothic"/>
          <w:color w:val="3B4D59"/>
        </w:rPr>
      </w:pPr>
      <w:r w:rsidRPr="006C1EB0">
        <w:rPr>
          <w:rFonts w:ascii="Century Gothic" w:hAnsi="Century Gothic"/>
        </w:rPr>
        <w:t>Every framework assumes these, and most cyber insurers now require them. If you cannot check a box, that is where to start. Steps 1 through 3 show you how.</w:t>
      </w:r>
    </w:p>
    <w:tbl>
      <w:tblPr>
        <w:tblW w:w="10642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3435"/>
        <w:gridCol w:w="6541"/>
      </w:tblGrid>
      <w:tr w:rsidR="007B1751" w:rsidRPr="006C1EB0" w14:paraId="0920C4B3" w14:textId="77777777" w:rsidTr="00297984">
        <w:trPr>
          <w:trHeight w:val="32"/>
        </w:trPr>
        <w:tc>
          <w:tcPr>
            <w:tcW w:w="666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5" w:type="dxa"/>
              <w:left w:w="110" w:type="dxa"/>
              <w:bottom w:w="45" w:type="dxa"/>
              <w:right w:w="110" w:type="dxa"/>
            </w:tcMar>
            <w:hideMark/>
          </w:tcPr>
          <w:p w14:paraId="15D6CA8D" w14:textId="77777777" w:rsidR="007B1751" w:rsidRPr="006C1EB0" w:rsidRDefault="007B1751" w:rsidP="000E1580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</w:p>
        </w:tc>
        <w:tc>
          <w:tcPr>
            <w:tcW w:w="343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6C252FA7" w14:textId="63EF683E" w:rsidR="007B1751" w:rsidRPr="006C1EB0" w:rsidRDefault="00801E3E" w:rsidP="00801E3E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  <w:t>Control</w:t>
            </w:r>
          </w:p>
        </w:tc>
        <w:tc>
          <w:tcPr>
            <w:tcW w:w="6541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69A20EDB" w14:textId="0834293B" w:rsidR="007B1751" w:rsidRPr="006C1EB0" w:rsidRDefault="00297984" w:rsidP="00297984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  <w:sz w:val="24"/>
                <w:szCs w:val="24"/>
              </w:rPr>
              <w:t>Why it matters</w:t>
            </w:r>
          </w:p>
        </w:tc>
      </w:tr>
      <w:tr w:rsidR="007B1751" w:rsidRPr="006C1EB0" w14:paraId="55474135" w14:textId="77777777" w:rsidTr="00113544">
        <w:trPr>
          <w:trHeight w:val="790"/>
        </w:trPr>
        <w:tc>
          <w:tcPr>
            <w:tcW w:w="666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4926B209" w14:textId="45CA82F3" w:rsidR="007B1751" w:rsidRPr="006C1EB0" w:rsidRDefault="009418C1" w:rsidP="009418C1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6C88E726" w14:textId="6B4FE403" w:rsidR="007B1751" w:rsidRPr="006C1EB0" w:rsidRDefault="004C142C" w:rsidP="004C142C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Core technical controls: MFA, EDR, backups</w:t>
            </w:r>
          </w:p>
        </w:tc>
        <w:tc>
          <w:tcPr>
            <w:tcW w:w="6541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5B187B83" w14:textId="399373B5" w:rsidR="007B1751" w:rsidRPr="006C1EB0" w:rsidRDefault="00113544" w:rsidP="001135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000000"/>
              </w:rPr>
              <w:t>MFA on email, VPN, and admin logins. EDR on every device. Backups offline or write-</w:t>
            </w:r>
            <w:proofErr w:type="gramStart"/>
            <w:r w:rsidRPr="006C1EB0">
              <w:rPr>
                <w:rFonts w:ascii="Century Gothic" w:hAnsi="Century Gothic"/>
                <w:color w:val="000000"/>
              </w:rPr>
              <w:t>protected, and</w:t>
            </w:r>
            <w:proofErr w:type="gramEnd"/>
            <w:r w:rsidRPr="006C1EB0">
              <w:rPr>
                <w:rFonts w:ascii="Century Gothic" w:hAnsi="Century Gothic"/>
                <w:color w:val="000000"/>
              </w:rPr>
              <w:t xml:space="preserve"> </w:t>
            </w:r>
            <w:proofErr w:type="gramStart"/>
            <w:r w:rsidRPr="006C1EB0">
              <w:rPr>
                <w:rFonts w:ascii="Century Gothic" w:hAnsi="Century Gothic"/>
                <w:color w:val="000000"/>
              </w:rPr>
              <w:t>actually tested</w:t>
            </w:r>
            <w:proofErr w:type="gramEnd"/>
            <w:r w:rsidRPr="006C1EB0">
              <w:rPr>
                <w:rFonts w:ascii="Century Gothic" w:hAnsi="Century Gothic"/>
                <w:color w:val="000000"/>
              </w:rPr>
              <w:t>. Insurers now treat all three as renewal requirements.</w:t>
            </w:r>
          </w:p>
        </w:tc>
      </w:tr>
      <w:tr w:rsidR="007B1751" w:rsidRPr="006C1EB0" w14:paraId="153FF4AE" w14:textId="77777777" w:rsidTr="00BB2D44">
        <w:trPr>
          <w:trHeight w:val="273"/>
        </w:trPr>
        <w:tc>
          <w:tcPr>
            <w:tcW w:w="666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299D6852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16B7D201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Asset inventory</w:t>
            </w:r>
          </w:p>
        </w:tc>
        <w:tc>
          <w:tcPr>
            <w:tcW w:w="6541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25003D64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</w:rPr>
              <w:t>Identify the hardware, software, and cloud services you run. You cannot protect what you have not counted.</w:t>
            </w:r>
          </w:p>
        </w:tc>
      </w:tr>
      <w:tr w:rsidR="007B1751" w:rsidRPr="006C1EB0" w14:paraId="1C282625" w14:textId="77777777" w:rsidTr="004851B1">
        <w:trPr>
          <w:trHeight w:val="521"/>
        </w:trPr>
        <w:tc>
          <w:tcPr>
            <w:tcW w:w="666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519A7866" w14:textId="03097687" w:rsidR="007B1751" w:rsidRPr="006C1EB0" w:rsidRDefault="008D515F" w:rsidP="008D515F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2E09BBF2" w14:textId="270411B2" w:rsidR="007B1751" w:rsidRPr="006C1EB0" w:rsidRDefault="003E5E1D" w:rsidP="003E5E1D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Least privilege access rights and user groups</w:t>
            </w:r>
          </w:p>
        </w:tc>
        <w:tc>
          <w:tcPr>
            <w:tcW w:w="6541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467BF30D" w14:textId="07A22DC0" w:rsidR="007B1751" w:rsidRPr="006C1EB0" w:rsidRDefault="004851B1" w:rsidP="004851B1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000000"/>
              </w:rPr>
              <w:t xml:space="preserve">People hold only </w:t>
            </w:r>
            <w:proofErr w:type="gramStart"/>
            <w:r w:rsidRPr="006C1EB0">
              <w:rPr>
                <w:rFonts w:ascii="Century Gothic" w:hAnsi="Century Gothic"/>
                <w:color w:val="000000"/>
              </w:rPr>
              <w:t>the access</w:t>
            </w:r>
            <w:proofErr w:type="gramEnd"/>
            <w:r w:rsidRPr="006C1EB0">
              <w:rPr>
                <w:rFonts w:ascii="Century Gothic" w:hAnsi="Century Gothic"/>
                <w:color w:val="000000"/>
              </w:rPr>
              <w:t xml:space="preserve"> their role needs. This limits how far one stolen login reaches.</w:t>
            </w:r>
          </w:p>
        </w:tc>
      </w:tr>
      <w:tr w:rsidR="007B1751" w:rsidRPr="006C1EB0" w14:paraId="62BBDAC5" w14:textId="77777777" w:rsidTr="00BB2D44">
        <w:trPr>
          <w:trHeight w:val="538"/>
        </w:trPr>
        <w:tc>
          <w:tcPr>
            <w:tcW w:w="666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4B4C2CE9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4463CDD2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Security awareness training</w:t>
            </w:r>
          </w:p>
        </w:tc>
        <w:tc>
          <w:tcPr>
            <w:tcW w:w="6541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43DBCFB3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</w:rPr>
              <w:t xml:space="preserve">Delivered and tracked. People are the control, and the reason </w:t>
            </w:r>
            <w:proofErr w:type="gramStart"/>
            <w:r w:rsidRPr="006C1EB0">
              <w:rPr>
                <w:rFonts w:ascii="Century Gothic" w:hAnsi="Century Gothic"/>
              </w:rPr>
              <w:t>the</w:t>
            </w:r>
            <w:proofErr w:type="gramEnd"/>
            <w:r w:rsidRPr="006C1EB0">
              <w:rPr>
                <w:rFonts w:ascii="Century Gothic" w:hAnsi="Century Gothic"/>
              </w:rPr>
              <w:t xml:space="preserve"> rest of this guide exists.</w:t>
            </w:r>
          </w:p>
        </w:tc>
      </w:tr>
      <w:tr w:rsidR="007B1751" w:rsidRPr="006C1EB0" w14:paraId="4ACF2FD9" w14:textId="77777777" w:rsidTr="00170B38">
        <w:trPr>
          <w:trHeight w:val="538"/>
        </w:trPr>
        <w:tc>
          <w:tcPr>
            <w:tcW w:w="666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5BC4A21D" w14:textId="17A50900" w:rsidR="007B1751" w:rsidRPr="006C1EB0" w:rsidRDefault="007F2846" w:rsidP="007F2846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218C179E" w14:textId="6DD63A06" w:rsidR="007B1751" w:rsidRPr="006C1EB0" w:rsidRDefault="00D30061" w:rsidP="00D30061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A named security and compliance owner</w:t>
            </w:r>
          </w:p>
        </w:tc>
        <w:tc>
          <w:tcPr>
            <w:tcW w:w="6541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1672BD27" w14:textId="7B6EF35A" w:rsidR="007B1751" w:rsidRPr="006C1EB0" w:rsidRDefault="00170B38" w:rsidP="00170B38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000000"/>
              </w:rPr>
              <w:t>One accountable person, not a department. This is the Ownership question from the top of the guide.</w:t>
            </w:r>
          </w:p>
        </w:tc>
      </w:tr>
      <w:tr w:rsidR="007B1751" w:rsidRPr="006C1EB0" w14:paraId="4896D4CA" w14:textId="77777777" w:rsidTr="00BB2D44">
        <w:trPr>
          <w:trHeight w:val="790"/>
        </w:trPr>
        <w:tc>
          <w:tcPr>
            <w:tcW w:w="666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096B77E5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7AE33A6B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Vendor management: due diligence</w:t>
            </w:r>
          </w:p>
        </w:tc>
        <w:tc>
          <w:tcPr>
            <w:tcW w:w="6541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7A451DD8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</w:rPr>
              <w:t>Know who touches your systems and data, and assess them before you sign, not after an incident. Requirements flow downhill from your contracts to theirs.</w:t>
            </w:r>
          </w:p>
        </w:tc>
      </w:tr>
      <w:tr w:rsidR="007B1751" w:rsidRPr="006C1EB0" w14:paraId="0335F557" w14:textId="77777777" w:rsidTr="006A34F5">
        <w:trPr>
          <w:trHeight w:val="790"/>
        </w:trPr>
        <w:tc>
          <w:tcPr>
            <w:tcW w:w="666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5D6E23D2" w14:textId="7B2D9D78" w:rsidR="007B1751" w:rsidRPr="006C1EB0" w:rsidRDefault="00115A36" w:rsidP="00115A36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65611258" w14:textId="37493C02" w:rsidR="007B1751" w:rsidRPr="006C1EB0" w:rsidRDefault="008A0247" w:rsidP="008A0247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Risk and business impact analysis</w:t>
            </w:r>
          </w:p>
        </w:tc>
        <w:tc>
          <w:tcPr>
            <w:tcW w:w="6541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580998C0" w14:textId="721AD5FB" w:rsidR="007B1751" w:rsidRPr="006C1EB0" w:rsidRDefault="006A34F5" w:rsidP="006A34F5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000000"/>
              </w:rPr>
              <w:t xml:space="preserve">Score likelihood and impact so you fix what </w:t>
            </w:r>
            <w:proofErr w:type="gramStart"/>
            <w:r w:rsidRPr="006C1EB0">
              <w:rPr>
                <w:rFonts w:ascii="Century Gothic" w:hAnsi="Century Gothic"/>
                <w:color w:val="000000"/>
              </w:rPr>
              <w:t>actually threatens</w:t>
            </w:r>
            <w:proofErr w:type="gramEnd"/>
            <w:r w:rsidRPr="006C1EB0">
              <w:rPr>
                <w:rFonts w:ascii="Century Gothic" w:hAnsi="Century Gothic"/>
                <w:color w:val="000000"/>
              </w:rPr>
              <w:t xml:space="preserve"> the business first. This is the Risk Mitigation pillar from the top of the guide.</w:t>
            </w:r>
          </w:p>
        </w:tc>
      </w:tr>
      <w:tr w:rsidR="007B1751" w:rsidRPr="006C1EB0" w14:paraId="1A4787C4" w14:textId="77777777" w:rsidTr="00BB2D44">
        <w:trPr>
          <w:trHeight w:val="807"/>
        </w:trPr>
        <w:tc>
          <w:tcPr>
            <w:tcW w:w="666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4811BA2F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6B208407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Incident response plan</w:t>
            </w:r>
          </w:p>
        </w:tc>
        <w:tc>
          <w:tcPr>
            <w:tcW w:w="6541" w:type="dxa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 w14:paraId="5975E10D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</w:rPr>
              <w:t>Written down before you need it: who does what, who you call, and what you tell customers. Insurers and auditors both ask to see it.</w:t>
            </w:r>
          </w:p>
        </w:tc>
      </w:tr>
      <w:tr w:rsidR="007B1751" w:rsidRPr="006C1EB0" w14:paraId="38005C68" w14:textId="77777777" w:rsidTr="00685BBD">
        <w:trPr>
          <w:trHeight w:val="807"/>
        </w:trPr>
        <w:tc>
          <w:tcPr>
            <w:tcW w:w="666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45302E17" w14:textId="26589B56" w:rsidR="007B1751" w:rsidRPr="006C1EB0" w:rsidRDefault="00F25302" w:rsidP="00F25302">
            <w:pPr>
              <w:spacing w:after="0"/>
              <w:rPr>
                <w:rFonts w:ascii="Century Gothic" w:hAnsi="Century Gothic"/>
                <w:color w:val="3B4D59"/>
                <w:sz w:val="24"/>
                <w:szCs w:val="24"/>
              </w:rPr>
            </w:pPr>
            <w:r w:rsidRPr="006C1EB0">
              <w:rPr>
                <w:rFonts w:ascii="Segoe UI Symbol" w:hAnsi="Segoe UI Symbol" w:cs="Segoe UI Symbol"/>
                <w:color w:val="3B4D59"/>
                <w:sz w:val="24"/>
                <w:szCs w:val="24"/>
              </w:rPr>
              <w:t>☐</w:t>
            </w:r>
          </w:p>
        </w:tc>
        <w:tc>
          <w:tcPr>
            <w:tcW w:w="3435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6464F18F" w14:textId="6B65E4DF" w:rsidR="007B1751" w:rsidRPr="006C1EB0" w:rsidRDefault="003C75C4" w:rsidP="003C75C4">
            <w:pPr>
              <w:spacing w:after="0"/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b/>
                <w:bCs/>
                <w:color w:val="3B4D59"/>
              </w:rPr>
              <w:t>Approved-tools policy, including AI</w:t>
            </w:r>
          </w:p>
        </w:tc>
        <w:tc>
          <w:tcPr>
            <w:tcW w:w="6541" w:type="dxa"/>
            <w:shd w:val="clear" w:color="auto" w:fill="F4DCE6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hideMark/>
          </w:tcPr>
          <w:p w14:paraId="0F93E68D" w14:textId="62C70E53" w:rsidR="007B1751" w:rsidRPr="006C1EB0" w:rsidRDefault="00685BBD" w:rsidP="00685BBD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000000"/>
              </w:rPr>
              <w:t>A sanctioned way to adopt new tools, especially AI, so people stop finding their own. The alternative is shadow IT with no visibility at all.</w:t>
            </w:r>
          </w:p>
        </w:tc>
      </w:tr>
    </w:tbl>
    <w:p w14:paraId="00E5C991" w14:textId="203C4823" w:rsidR="00AF36AF" w:rsidRPr="006C1EB0" w:rsidRDefault="00FD7FE7" w:rsidP="007B1751">
      <w:pPr>
        <w:widowControl w:val="0"/>
        <w:autoSpaceDE w:val="0"/>
        <w:autoSpaceDN w:val="0"/>
        <w:spacing w:before="240" w:after="0" w:line="240" w:lineRule="auto"/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Foundation: Select the Right Framework</w:t>
      </w:r>
    </w:p>
    <w:p w14:paraId="0A72739B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>Before you can scope anything, pick what you are building against. Answer these, then check your default.</w:t>
      </w:r>
    </w:p>
    <w:p w14:paraId="63C9B010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What does your contract require?</w:t>
      </w:r>
      <w:r w:rsidRPr="006C1EB0">
        <w:rPr>
          <w:rFonts w:ascii="Century Gothic" w:hAnsi="Century Gothic"/>
        </w:rPr>
        <w:t xml:space="preserve"> Handling CUI for a defense contract means CMMC is not optional.</w:t>
      </w:r>
    </w:p>
    <w:p w14:paraId="4B744857" w14:textId="77777777" w:rsidR="007B1751" w:rsidRPr="006C1EB0" w:rsidRDefault="007B1751" w:rsidP="007B1751">
      <w:pPr>
        <w:pStyle w:val="ListParagraph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0810C4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 xml:space="preserve">What do customers </w:t>
      </w:r>
      <w:proofErr w:type="gramStart"/>
      <w:r w:rsidRPr="006C1EB0">
        <w:rPr>
          <w:rFonts w:ascii="Century Gothic" w:hAnsi="Century Gothic"/>
          <w:b/>
          <w:bCs/>
        </w:rPr>
        <w:t>actually request</w:t>
      </w:r>
      <w:proofErr w:type="gramEnd"/>
      <w:r w:rsidRPr="006C1EB0">
        <w:rPr>
          <w:rFonts w:ascii="Century Gothic" w:hAnsi="Century Gothic"/>
          <w:b/>
          <w:bCs/>
        </w:rPr>
        <w:t>?</w:t>
      </w:r>
      <w:r w:rsidRPr="006C1EB0">
        <w:rPr>
          <w:rFonts w:ascii="Century Gothic" w:hAnsi="Century Gothic"/>
        </w:rPr>
        <w:t xml:space="preserve"> Selling to enterprise often means SOC 2.</w:t>
      </w:r>
    </w:p>
    <w:p w14:paraId="1B77FCE8" w14:textId="77777777" w:rsidR="007B1751" w:rsidRPr="006C1EB0" w:rsidRDefault="007B1751" w:rsidP="007B1751">
      <w:pPr>
        <w:pStyle w:val="ListParagraph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2E119E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  <w:b/>
          <w:bCs/>
        </w:rPr>
      </w:pPr>
      <w:r w:rsidRPr="006C1EB0">
        <w:rPr>
          <w:rFonts w:ascii="Century Gothic" w:hAnsi="Century Gothic"/>
          <w:b/>
          <w:bCs/>
        </w:rPr>
        <w:t>Do you operate internationally, or want to?</w:t>
      </w:r>
    </w:p>
    <w:p w14:paraId="3366C339" w14:textId="77777777" w:rsidR="007B1751" w:rsidRPr="006C1EB0" w:rsidRDefault="007B1751" w:rsidP="007B1751">
      <w:pPr>
        <w:pStyle w:val="ListParagraph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5C3FF8" w14:textId="77777777" w:rsidR="007B1751" w:rsidRPr="006C1EB0" w:rsidRDefault="007B1751" w:rsidP="007B1751">
      <w:pPr>
        <w:pStyle w:val="ListParagraph"/>
        <w:rPr>
          <w:rFonts w:ascii="Century Gothic" w:hAnsi="Century Gothic"/>
          <w:b/>
          <w:bCs/>
          <w:color w:val="3B4D59"/>
        </w:rPr>
      </w:pPr>
    </w:p>
    <w:p w14:paraId="560ED3E6" w14:textId="77777777" w:rsidR="007B1751" w:rsidRPr="006C1EB0" w:rsidRDefault="007B1751" w:rsidP="007B1751">
      <w:pPr>
        <w:pStyle w:val="ListParagraph"/>
        <w:rPr>
          <w:rFonts w:ascii="Century Gothic" w:hAnsi="Century Gothic"/>
          <w:b/>
          <w:bCs/>
          <w:color w:val="3B4D59"/>
        </w:rPr>
      </w:pPr>
    </w:p>
    <w:p w14:paraId="11E41159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 xml:space="preserve">Is third-party validation </w:t>
      </w:r>
      <w:proofErr w:type="gramStart"/>
      <w:r w:rsidRPr="006C1EB0">
        <w:rPr>
          <w:rFonts w:ascii="Century Gothic" w:hAnsi="Century Gothic"/>
          <w:b/>
          <w:bCs/>
        </w:rPr>
        <w:t>actually required</w:t>
      </w:r>
      <w:proofErr w:type="gramEnd"/>
      <w:r w:rsidRPr="006C1EB0">
        <w:rPr>
          <w:rFonts w:ascii="Century Gothic" w:hAnsi="Century Gothic"/>
          <w:b/>
          <w:bCs/>
        </w:rPr>
        <w:t>, or would a governed internal program be enough?</w:t>
      </w:r>
    </w:p>
    <w:p w14:paraId="757A414B" w14:textId="77777777" w:rsidR="007B1751" w:rsidRPr="006C1EB0" w:rsidRDefault="007B1751" w:rsidP="007B1751">
      <w:pPr>
        <w:pStyle w:val="ListParagraph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84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shd w:val="clear" w:color="auto" w:fill="DEFBFF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2"/>
      </w:tblGrid>
      <w:tr w:rsidR="007B1751" w:rsidRPr="006C1EB0" w14:paraId="0B33513F" w14:textId="77777777" w:rsidTr="00BB2D44">
        <w:trPr>
          <w:trHeight w:val="428"/>
        </w:trPr>
        <w:tc>
          <w:tcPr>
            <w:tcW w:w="10842" w:type="dxa"/>
            <w:shd w:val="clear" w:color="auto" w:fill="D9F2D0" w:themeFill="accent6" w:themeFillTint="33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27E2C3" w14:textId="2C09F731" w:rsidR="007B1751" w:rsidRPr="006C1EB0" w:rsidRDefault="007B1751" w:rsidP="00BB2D44">
            <w:pPr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</w:rPr>
              <w:t xml:space="preserve">If none of </w:t>
            </w:r>
            <w:proofErr w:type="gramStart"/>
            <w:r w:rsidRPr="006C1EB0">
              <w:rPr>
                <w:rFonts w:ascii="Century Gothic" w:hAnsi="Century Gothic"/>
                <w:b/>
              </w:rPr>
              <w:t>these hit</w:t>
            </w:r>
            <w:proofErr w:type="gramEnd"/>
            <w:r w:rsidRPr="006C1EB0">
              <w:rPr>
                <w:rFonts w:ascii="Century Gothic" w:hAnsi="Century Gothic"/>
                <w:b/>
              </w:rPr>
              <w:t xml:space="preserve"> hard, or you are not sure, and that is most businesses, the default is ISO 27001. </w:t>
            </w:r>
            <w:r w:rsidRPr="006C1EB0">
              <w:rPr>
                <w:rFonts w:ascii="Century Gothic" w:hAnsi="Century Gothic"/>
              </w:rPr>
              <w:t xml:space="preserve">It is the international best-practices standard, and </w:t>
            </w:r>
            <w:proofErr w:type="gramStart"/>
            <w:r w:rsidRPr="006C1EB0">
              <w:rPr>
                <w:rFonts w:ascii="Century Gothic" w:hAnsi="Century Gothic"/>
              </w:rPr>
              <w:t>it</w:t>
            </w:r>
            <w:r w:rsidR="00A74772">
              <w:rPr>
                <w:rFonts w:ascii="Century Gothic" w:hAnsi="Century Gothic"/>
              </w:rPr>
              <w:t>`</w:t>
            </w:r>
            <w:r w:rsidRPr="006C1EB0">
              <w:rPr>
                <w:rFonts w:ascii="Century Gothic" w:hAnsi="Century Gothic"/>
              </w:rPr>
              <w:t xml:space="preserve"> crosswalks</w:t>
            </w:r>
            <w:proofErr w:type="gramEnd"/>
            <w:r w:rsidRPr="006C1EB0">
              <w:rPr>
                <w:rFonts w:ascii="Century Gothic" w:hAnsi="Century Gothic"/>
              </w:rPr>
              <w:t xml:space="preserve"> to almost everything else you will ever be asked for.</w:t>
            </w:r>
          </w:p>
        </w:tc>
      </w:tr>
    </w:tbl>
    <w:p w14:paraId="4AC0A1D9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Go deeper:</w:t>
      </w:r>
      <w:r w:rsidRPr="006C1EB0">
        <w:rPr>
          <w:rFonts w:ascii="Century Gothic" w:hAnsi="Century Gothic"/>
        </w:rPr>
        <w:t xml:space="preserve"> </w:t>
      </w:r>
      <w:r w:rsidRPr="006C1EB0">
        <w:rPr>
          <w:rFonts w:ascii="Century Gothic" w:hAnsi="Century Gothic"/>
          <w:b/>
          <w:bCs/>
        </w:rPr>
        <w:t>Choosing the Right Compliance Framework,</w:t>
      </w:r>
      <w:r w:rsidRPr="006C1EB0">
        <w:rPr>
          <w:rFonts w:ascii="Century Gothic" w:hAnsi="Century Gothic"/>
        </w:rPr>
        <w:t xml:space="preserve"> is a companion guide with the full five-question breakdown, three worked profiles, and typical cost and timeline ranges for SOC 2, ISO 27001, and CMMC.</w:t>
      </w:r>
    </w:p>
    <w:p w14:paraId="5B0DD201" w14:textId="3D349925" w:rsidR="00AF36AF" w:rsidRPr="006C1EB0" w:rsidRDefault="00FD7FE7" w:rsidP="007B1751">
      <w:pPr>
        <w:widowControl w:val="0"/>
        <w:autoSpaceDE w:val="0"/>
        <w:autoSpaceDN w:val="0"/>
        <w:spacing w:before="240" w:after="0" w:line="240" w:lineRule="auto"/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Step 1: Scope</w:t>
      </w:r>
    </w:p>
    <w:p w14:paraId="3C3E57D7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Roles:</w:t>
      </w:r>
      <w:r w:rsidRPr="006C1EB0">
        <w:rPr>
          <w:rFonts w:ascii="Century Gothic" w:hAnsi="Century Gothic"/>
        </w:rPr>
        <w:t xml:space="preserve"> who owns each part of the program.</w:t>
      </w:r>
    </w:p>
    <w:p w14:paraId="3EBCA707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Sensitive Data:</w:t>
      </w:r>
      <w:r w:rsidRPr="006C1EB0">
        <w:rPr>
          <w:rFonts w:ascii="Century Gothic" w:hAnsi="Century Gothic"/>
        </w:rPr>
        <w:t xml:space="preserve"> what types, and where it </w:t>
      </w:r>
      <w:proofErr w:type="gramStart"/>
      <w:r w:rsidRPr="006C1EB0">
        <w:rPr>
          <w:rFonts w:ascii="Century Gothic" w:hAnsi="Century Gothic"/>
        </w:rPr>
        <w:t>actually lives</w:t>
      </w:r>
      <w:proofErr w:type="gramEnd"/>
      <w:r w:rsidRPr="006C1EB0">
        <w:rPr>
          <w:rFonts w:ascii="Century Gothic" w:hAnsi="Century Gothic"/>
        </w:rPr>
        <w:t>.</w:t>
      </w:r>
    </w:p>
    <w:p w14:paraId="66607BCD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Boundaries:</w:t>
      </w:r>
      <w:r w:rsidRPr="006C1EB0">
        <w:rPr>
          <w:rFonts w:ascii="Century Gothic" w:hAnsi="Century Gothic"/>
        </w:rPr>
        <w:t xml:space="preserve"> business units, locations, systems, and exclusions.</w:t>
      </w:r>
    </w:p>
    <w:p w14:paraId="1E7A5386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Asset Inventory:</w:t>
      </w:r>
      <w:r w:rsidRPr="006C1EB0">
        <w:rPr>
          <w:rFonts w:ascii="Century Gothic" w:hAnsi="Century Gothic"/>
        </w:rPr>
        <w:t xml:space="preserve"> every system, SaaS tool, and vendor product that touches your data, tracked by category, owner, and criticality.</w:t>
      </w:r>
    </w:p>
    <w:p w14:paraId="55E2EC4F" w14:textId="77777777" w:rsidR="007B1751" w:rsidRPr="006C1EB0" w:rsidRDefault="007B1751" w:rsidP="007B1751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Vendor Due Diligence:</w:t>
      </w:r>
      <w:r w:rsidRPr="006C1EB0">
        <w:rPr>
          <w:rFonts w:ascii="Century Gothic" w:hAnsi="Century Gothic"/>
        </w:rPr>
        <w:t xml:space="preserve"> who touches your systems and data, and whether they've been assessed before you sign, not after an incident.</w:t>
      </w:r>
    </w:p>
    <w:p w14:paraId="7D90681D" w14:textId="4B82E4A0" w:rsidR="00AF36AF" w:rsidRPr="006C1EB0" w:rsidRDefault="00FD7FE7" w:rsidP="007B1751">
      <w:pPr>
        <w:rPr>
          <w:rStyle w:val="IntenseEmphasis"/>
          <w:rFonts w:ascii="Century Gothic" w:hAnsi="Century Gothic"/>
          <w:b/>
          <w:bCs/>
        </w:rPr>
      </w:pPr>
      <w:r w:rsidRPr="006C1EB0">
        <w:rPr>
          <w:rStyle w:val="IntenseEmphasis"/>
          <w:rFonts w:ascii="Century Gothic" w:hAnsi="Century Gothic"/>
          <w:b/>
          <w:color w:val="852057"/>
        </w:rPr>
        <w:t>Roles and Responsibilities</w:t>
      </w:r>
    </w:p>
    <w:p w14:paraId="27F72370" w14:textId="77777777" w:rsidR="007B1751" w:rsidRPr="006C1EB0" w:rsidRDefault="007B1751" w:rsidP="007B1751">
      <w:pPr>
        <w:rPr>
          <w:rFonts w:ascii="Century Gothic" w:hAnsi="Century Gothic"/>
          <w:szCs w:val="19"/>
        </w:rPr>
      </w:pPr>
      <w:r w:rsidRPr="006C1EB0">
        <w:rPr>
          <w:rFonts w:ascii="Century Gothic" w:hAnsi="Century Gothic"/>
          <w:szCs w:val="19"/>
        </w:rPr>
        <w:t xml:space="preserve">Every </w:t>
      </w:r>
      <w:proofErr w:type="gramStart"/>
      <w:r w:rsidRPr="006C1EB0">
        <w:rPr>
          <w:rFonts w:ascii="Century Gothic" w:hAnsi="Century Gothic"/>
          <w:szCs w:val="19"/>
        </w:rPr>
        <w:t>governed</w:t>
      </w:r>
      <w:proofErr w:type="gramEnd"/>
      <w:r w:rsidRPr="006C1EB0">
        <w:rPr>
          <w:rFonts w:ascii="Century Gothic" w:hAnsi="Century Gothic"/>
          <w:szCs w:val="19"/>
        </w:rPr>
        <w:t xml:space="preserve"> program needs these seven role categories filled, though not necessarily by seven people.</w:t>
      </w:r>
    </w:p>
    <w:tbl>
      <w:tblPr>
        <w:tblW w:w="1070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4"/>
        <w:gridCol w:w="2972"/>
        <w:gridCol w:w="1686"/>
        <w:gridCol w:w="1582"/>
        <w:gridCol w:w="2261"/>
      </w:tblGrid>
      <w:tr w:rsidR="007B1751" w:rsidRPr="006C1EB0" w14:paraId="1311132C" w14:textId="77777777" w:rsidTr="00C53540">
        <w:tc>
          <w:tcPr>
            <w:tcW w:w="2204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F173FC0" w14:textId="09953788" w:rsidR="007B1751" w:rsidRPr="006C1EB0" w:rsidRDefault="0055162D" w:rsidP="0055162D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</w:rPr>
              <w:t>Role category</w:t>
            </w:r>
          </w:p>
        </w:tc>
        <w:tc>
          <w:tcPr>
            <w:tcW w:w="2972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9F58E34" w14:textId="3F88A7D9" w:rsidR="007B1751" w:rsidRPr="006C1EB0" w:rsidRDefault="004E642A" w:rsidP="004E642A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</w:rPr>
              <w:t>Responsibilities</w:t>
            </w:r>
          </w:p>
        </w:tc>
        <w:tc>
          <w:tcPr>
            <w:tcW w:w="1686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6C5D387B" w14:textId="268CD25C" w:rsidR="007B1751" w:rsidRPr="006C1EB0" w:rsidRDefault="008E3B5B" w:rsidP="008E3B5B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</w:rPr>
              <w:t>Name</w:t>
            </w:r>
          </w:p>
        </w:tc>
        <w:tc>
          <w:tcPr>
            <w:tcW w:w="1582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F4CAD7C" w14:textId="400BAE52" w:rsidR="007B1751" w:rsidRPr="006C1EB0" w:rsidRDefault="008E4EBD" w:rsidP="008E4EBD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</w:rPr>
              <w:t>Title</w:t>
            </w:r>
          </w:p>
        </w:tc>
        <w:tc>
          <w:tcPr>
            <w:tcW w:w="2261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BA84FFA" w14:textId="4DBB6E94" w:rsidR="007B1751" w:rsidRPr="006C1EB0" w:rsidRDefault="00C53540" w:rsidP="00C53540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FFFFFF"/>
              </w:rPr>
              <w:t>Contact information</w:t>
            </w:r>
          </w:p>
        </w:tc>
      </w:tr>
      <w:tr w:rsidR="007B1751" w:rsidRPr="006C1EB0" w14:paraId="740A13B8" w14:textId="77777777" w:rsidTr="00BC0CFA">
        <w:tc>
          <w:tcPr>
            <w:tcW w:w="2204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119414D" w14:textId="1185AA19" w:rsidR="007B1751" w:rsidRPr="006C1EB0" w:rsidRDefault="003559FF" w:rsidP="003559FF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000000"/>
              </w:rPr>
              <w:t>Executive &amp; Governance</w:t>
            </w:r>
          </w:p>
        </w:tc>
        <w:tc>
          <w:tcPr>
            <w:tcW w:w="297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0EAD0F0" w14:textId="384F9DF4" w:rsidR="007B1751" w:rsidRPr="006C1EB0" w:rsidRDefault="0012057F" w:rsidP="0012057F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 xml:space="preserve">Approves policy, funding, and governance structure. </w:t>
            </w:r>
            <w:proofErr w:type="gramStart"/>
            <w:r w:rsidRPr="006C1EB0">
              <w:rPr>
                <w:rFonts w:ascii="Century Gothic" w:hAnsi="Century Gothic"/>
                <w:color w:val="55666C"/>
              </w:rPr>
              <w:t>Joins</w:t>
            </w:r>
            <w:proofErr w:type="gramEnd"/>
            <w:r w:rsidRPr="006C1EB0">
              <w:rPr>
                <w:rFonts w:ascii="Century Gothic" w:hAnsi="Century Gothic"/>
                <w:color w:val="55666C"/>
              </w:rPr>
              <w:t xml:space="preserve"> management reviews.</w:t>
            </w:r>
          </w:p>
        </w:tc>
        <w:tc>
          <w:tcPr>
            <w:tcW w:w="168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B5E2FE0" w14:textId="77777777" w:rsidR="007B1751" w:rsidRPr="006C1EB0" w:rsidRDefault="007B1751" w:rsidP="0082061E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75F700E" w14:textId="77777777" w:rsidR="007B1751" w:rsidRPr="006C1EB0" w:rsidRDefault="007B1751" w:rsidP="00571BDE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35A8E18" w14:textId="77777777" w:rsidR="007B1751" w:rsidRPr="006C1EB0" w:rsidRDefault="007B1751" w:rsidP="00BC0CFA">
            <w:pPr>
              <w:spacing w:after="0"/>
              <w:rPr>
                <w:rFonts w:ascii="Century Gothic" w:hAnsi="Century Gothic"/>
              </w:rPr>
            </w:pPr>
          </w:p>
        </w:tc>
      </w:tr>
      <w:tr w:rsidR="007B1751" w:rsidRPr="006C1EB0" w14:paraId="37C1BC98" w14:textId="77777777" w:rsidTr="00BB2D44">
        <w:tc>
          <w:tcPr>
            <w:tcW w:w="2204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A3745A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</w:rPr>
              <w:t>Security &amp; Compliance</w:t>
            </w:r>
          </w:p>
        </w:tc>
        <w:tc>
          <w:tcPr>
            <w:tcW w:w="297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B379F0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Owns the program and its documentation. Coordinates audits and tracks corrective actions.</w:t>
            </w:r>
          </w:p>
        </w:tc>
        <w:tc>
          <w:tcPr>
            <w:tcW w:w="168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59AC7A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3A9850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F226A7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</w:tr>
      <w:tr w:rsidR="007B1751" w:rsidRPr="006C1EB0" w14:paraId="68B412E2" w14:textId="77777777" w:rsidTr="00E87B32">
        <w:tc>
          <w:tcPr>
            <w:tcW w:w="2204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E6CEAAA" w14:textId="7866D170" w:rsidR="007B1751" w:rsidRPr="006C1EB0" w:rsidRDefault="003B2003" w:rsidP="003B2003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000000"/>
              </w:rPr>
              <w:t>IT &amp; Infrastructure</w:t>
            </w:r>
          </w:p>
        </w:tc>
        <w:tc>
          <w:tcPr>
            <w:tcW w:w="297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3732E42" w14:textId="34287CE4" w:rsidR="007B1751" w:rsidRPr="006C1EB0" w:rsidRDefault="002B3265" w:rsidP="002B3265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Manages technical controls: access, patching, and logging.</w:t>
            </w:r>
          </w:p>
        </w:tc>
        <w:tc>
          <w:tcPr>
            <w:tcW w:w="168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4C28427" w14:textId="77777777" w:rsidR="007B1751" w:rsidRPr="006C1EB0" w:rsidRDefault="007B1751" w:rsidP="00A26C5A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5548E68" w14:textId="77777777" w:rsidR="007B1751" w:rsidRPr="006C1EB0" w:rsidRDefault="007B1751" w:rsidP="000B65E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7E7F524" w14:textId="77777777" w:rsidR="007B1751" w:rsidRPr="006C1EB0" w:rsidRDefault="007B1751" w:rsidP="00E87B32">
            <w:pPr>
              <w:spacing w:after="0"/>
              <w:rPr>
                <w:rFonts w:ascii="Century Gothic" w:hAnsi="Century Gothic"/>
              </w:rPr>
            </w:pPr>
          </w:p>
        </w:tc>
      </w:tr>
      <w:tr w:rsidR="007B1751" w:rsidRPr="006C1EB0" w14:paraId="622E91A9" w14:textId="77777777" w:rsidTr="00BB2D44">
        <w:tc>
          <w:tcPr>
            <w:tcW w:w="2204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4559C4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</w:rPr>
              <w:t>Training &amp; Awareness</w:t>
            </w:r>
          </w:p>
        </w:tc>
        <w:tc>
          <w:tcPr>
            <w:tcW w:w="297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91A31A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Delivers security training and tracks completion.</w:t>
            </w:r>
          </w:p>
        </w:tc>
        <w:tc>
          <w:tcPr>
            <w:tcW w:w="168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2AC954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7A6DCB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D2B9CB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</w:tr>
      <w:tr w:rsidR="007B1751" w:rsidRPr="006C1EB0" w14:paraId="52DC1077" w14:textId="77777777" w:rsidTr="00E23445">
        <w:tc>
          <w:tcPr>
            <w:tcW w:w="2204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F96F655" w14:textId="4347F1BC" w:rsidR="007B1751" w:rsidRPr="006C1EB0" w:rsidRDefault="00E00A95" w:rsidP="00E00A95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000000"/>
              </w:rPr>
              <w:t>Audit &amp; Assessment</w:t>
            </w:r>
          </w:p>
        </w:tc>
        <w:tc>
          <w:tcPr>
            <w:tcW w:w="297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D74F0F9" w14:textId="2DE3E7A9" w:rsidR="007B1751" w:rsidRPr="006C1EB0" w:rsidRDefault="00932195" w:rsidP="00932195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Runs audits objectively and documents findings.</w:t>
            </w:r>
          </w:p>
        </w:tc>
        <w:tc>
          <w:tcPr>
            <w:tcW w:w="168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A4D4EFC" w14:textId="77777777" w:rsidR="007B1751" w:rsidRPr="006C1EB0" w:rsidRDefault="007B1751" w:rsidP="0080467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2DBDAD0" w14:textId="77777777" w:rsidR="007B1751" w:rsidRPr="006C1EB0" w:rsidRDefault="007B1751" w:rsidP="00DF01BF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6766190E" w14:textId="77777777" w:rsidR="007B1751" w:rsidRPr="006C1EB0" w:rsidRDefault="007B1751" w:rsidP="00E23445">
            <w:pPr>
              <w:spacing w:after="0"/>
              <w:rPr>
                <w:rFonts w:ascii="Century Gothic" w:hAnsi="Century Gothic"/>
              </w:rPr>
            </w:pPr>
          </w:p>
        </w:tc>
      </w:tr>
      <w:tr w:rsidR="007B1751" w:rsidRPr="006C1EB0" w14:paraId="2FAEA3BA" w14:textId="77777777" w:rsidTr="00BB2D44">
        <w:tc>
          <w:tcPr>
            <w:tcW w:w="2204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709206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</w:rPr>
              <w:t>Documentation &amp; Records</w:t>
            </w:r>
          </w:p>
        </w:tc>
        <w:tc>
          <w:tcPr>
            <w:tcW w:w="297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9EE67D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Keeps version-controlled documents and retention schedules.</w:t>
            </w:r>
          </w:p>
        </w:tc>
        <w:tc>
          <w:tcPr>
            <w:tcW w:w="168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FD4257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E70A66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86E290" w14:textId="77777777" w:rsidR="007B1751" w:rsidRPr="006C1EB0" w:rsidRDefault="007B1751" w:rsidP="00BB2D44">
            <w:pPr>
              <w:spacing w:after="0"/>
              <w:rPr>
                <w:rFonts w:ascii="Century Gothic" w:hAnsi="Century Gothic"/>
              </w:rPr>
            </w:pPr>
          </w:p>
        </w:tc>
      </w:tr>
      <w:tr w:rsidR="007B1751" w:rsidRPr="006C1EB0" w14:paraId="1741E9B2" w14:textId="77777777" w:rsidTr="0047072F">
        <w:tc>
          <w:tcPr>
            <w:tcW w:w="2204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9CBE252" w14:textId="7708DFAB" w:rsidR="007B1751" w:rsidRPr="006C1EB0" w:rsidRDefault="00DC5DAA" w:rsidP="00DC5DAA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b/>
                <w:bCs/>
                <w:color w:val="000000"/>
              </w:rPr>
              <w:t>Operational (business units, HR, physical security)</w:t>
            </w:r>
          </w:p>
        </w:tc>
        <w:tc>
          <w:tcPr>
            <w:tcW w:w="297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DB65620" w14:textId="1DEDA46B" w:rsidR="007B1751" w:rsidRPr="006C1EB0" w:rsidRDefault="00C14220" w:rsidP="00C14220">
            <w:pPr>
              <w:spacing w:after="0"/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Implements controls day to day: onboarding, access, and physical security.</w:t>
            </w:r>
          </w:p>
        </w:tc>
        <w:tc>
          <w:tcPr>
            <w:tcW w:w="168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71310DF" w14:textId="77777777" w:rsidR="007B1751" w:rsidRPr="006C1EB0" w:rsidRDefault="007B1751" w:rsidP="005C3CF9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8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17B0F9C" w14:textId="77777777" w:rsidR="007B1751" w:rsidRPr="006C1EB0" w:rsidRDefault="007B1751" w:rsidP="004D4508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2261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91289EC" w14:textId="77777777" w:rsidR="007B1751" w:rsidRPr="006C1EB0" w:rsidRDefault="007B1751" w:rsidP="0047072F">
            <w:pPr>
              <w:spacing w:after="0"/>
              <w:rPr>
                <w:rFonts w:ascii="Century Gothic" w:hAnsi="Century Gothic"/>
              </w:rPr>
            </w:pPr>
          </w:p>
        </w:tc>
      </w:tr>
    </w:tbl>
    <w:p w14:paraId="56AF05AA" w14:textId="77777777" w:rsidR="007B1751" w:rsidRPr="006C1EB0" w:rsidRDefault="007B1751" w:rsidP="007B1751">
      <w:pPr>
        <w:rPr>
          <w:rFonts w:ascii="Century Gothic" w:hAnsi="Century Gothic"/>
          <w:i/>
          <w:iCs/>
          <w:sz w:val="18"/>
          <w:szCs w:val="18"/>
        </w:rPr>
      </w:pPr>
      <w:r w:rsidRPr="006C1EB0">
        <w:rPr>
          <w:rFonts w:ascii="Century Gothic" w:hAnsi="Century Gothic"/>
          <w:i/>
          <w:iCs/>
          <w:sz w:val="18"/>
          <w:szCs w:val="18"/>
        </w:rPr>
        <w:lastRenderedPageBreak/>
        <w:t>Smaller organizations wear multiple hats. Most mid-market teams cover these seven categories with two or three people.    A blank row is your gap, not a failure.</w:t>
      </w:r>
    </w:p>
    <w:p w14:paraId="137926D9" w14:textId="02036B50" w:rsidR="00AF36AF" w:rsidRPr="006C1EB0" w:rsidRDefault="00FD7FE7" w:rsidP="007B1751">
      <w:pPr>
        <w:rPr>
          <w:rStyle w:val="IntenseEmphasis"/>
          <w:rFonts w:ascii="Century Gothic" w:hAnsi="Century Gothic"/>
          <w:b/>
          <w:bCs/>
        </w:rPr>
      </w:pPr>
      <w:r w:rsidRPr="006C1EB0">
        <w:rPr>
          <w:rStyle w:val="IntenseEmphasis"/>
          <w:rFonts w:ascii="Century Gothic" w:hAnsi="Century Gothic"/>
          <w:b/>
          <w:color w:val="852057"/>
        </w:rPr>
        <w:t>Full Role Breakdown, by Framework</w:t>
      </w:r>
    </w:p>
    <w:p w14:paraId="01258B76" w14:textId="78F6C542" w:rsidR="00B94FC3" w:rsidRPr="006C1EB0" w:rsidRDefault="00A824F8" w:rsidP="007B1751">
      <w:pPr>
        <w:rPr>
          <w:rStyle w:val="BookTitle"/>
          <w:rFonts w:ascii="Century Gothic" w:hAnsi="Century Gothic"/>
          <w:b w:val="0"/>
          <w:bCs w:val="0"/>
          <w:i w:val="0"/>
          <w:iCs w:val="0"/>
        </w:rPr>
      </w:pPr>
      <w:r w:rsidRPr="006C1EB0">
        <w:rPr>
          <w:rStyle w:val="BookTitle"/>
          <w:rFonts w:ascii="Century Gothic" w:hAnsi="Century Gothic"/>
          <w:b w:val="0"/>
          <w:bCs w:val="0"/>
          <w:i w:val="0"/>
          <w:iCs w:val="0"/>
        </w:rPr>
        <w:t>Click</w:t>
      </w:r>
      <w:r w:rsidR="007B1751" w:rsidRPr="006C1EB0">
        <w:rPr>
          <w:rStyle w:val="BookTitle"/>
          <w:rFonts w:ascii="Century Gothic" w:hAnsi="Century Gothic"/>
          <w:b w:val="0"/>
          <w:bCs w:val="0"/>
          <w:i w:val="0"/>
          <w:iCs w:val="0"/>
        </w:rPr>
        <w:t xml:space="preserve"> the </w:t>
      </w:r>
      <w:r w:rsidR="00B94FC3" w:rsidRPr="006C1EB0">
        <w:rPr>
          <w:rStyle w:val="BookTitle"/>
          <w:rFonts w:ascii="Century Gothic" w:hAnsi="Century Gothic"/>
          <w:b w:val="0"/>
          <w:bCs w:val="0"/>
          <w:i w:val="0"/>
          <w:iCs w:val="0"/>
        </w:rPr>
        <w:t>links</w:t>
      </w:r>
      <w:r w:rsidR="007B1751" w:rsidRPr="006C1EB0">
        <w:rPr>
          <w:rStyle w:val="BookTitle"/>
          <w:rFonts w:ascii="Century Gothic" w:hAnsi="Century Gothic"/>
          <w:b w:val="0"/>
          <w:bCs w:val="0"/>
          <w:i w:val="0"/>
          <w:iCs w:val="0"/>
        </w:rPr>
        <w:t xml:space="preserve"> associated with the framework your team uses to access full role breakdowns beyond these seven categories.</w:t>
      </w:r>
    </w:p>
    <w:tbl>
      <w:tblPr>
        <w:tblW w:w="10790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96"/>
        <w:gridCol w:w="3597"/>
        <w:gridCol w:w="3597"/>
      </w:tblGrid>
      <w:tr w:rsidR="007B1751" w:rsidRPr="001F5025" w14:paraId="105D09D8" w14:textId="77777777" w:rsidTr="5EE80EEC">
        <w:trPr>
          <w:trHeight w:val="408"/>
        </w:trPr>
        <w:tc>
          <w:tcPr>
            <w:tcW w:w="359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75EA6B9" w14:textId="63EE0AEF" w:rsidR="007B1751" w:rsidRPr="001F5025" w:rsidRDefault="231D1729" w:rsidP="5EE80EEC">
            <w:pPr>
              <w:spacing w:after="0"/>
              <w:jc w:val="center"/>
              <w:rPr>
                <w:rStyle w:val="BookTitle"/>
                <w:rFonts w:ascii="Century Gothic" w:hAnsi="Century Gothic"/>
                <w:b w:val="0"/>
                <w:bCs w:val="0"/>
                <w:i w:val="0"/>
                <w:iCs w:val="0"/>
                <w:color w:val="852057"/>
              </w:rPr>
            </w:pPr>
            <w:hyperlink r:id="rId14" w:history="1">
              <w:r w:rsidRPr="001F5025">
                <w:rPr>
                  <w:rStyle w:val="Hyperlink"/>
                  <w:b/>
                  <w:bCs/>
                  <w:color w:val="852057"/>
                  <w:spacing w:val="5"/>
                </w:rPr>
                <w:t>ISO 27001</w:t>
              </w:r>
            </w:hyperlink>
          </w:p>
        </w:tc>
        <w:tc>
          <w:tcPr>
            <w:tcW w:w="3597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52EE0AD" w14:textId="6CAF759A" w:rsidR="007B1751" w:rsidRPr="006C1EB0" w:rsidRDefault="40A73058" w:rsidP="5EE80EEC">
            <w:pPr>
              <w:spacing w:after="0"/>
              <w:jc w:val="center"/>
              <w:rPr>
                <w:rStyle w:val="BookTitle"/>
                <w:rFonts w:ascii="Century Gothic" w:hAnsi="Century Gothic"/>
                <w:b w:val="0"/>
                <w:bCs w:val="0"/>
                <w:i w:val="0"/>
                <w:iCs w:val="0"/>
                <w:color w:val="852057"/>
                <w:highlight w:val="yellow"/>
              </w:rPr>
            </w:pPr>
            <w:hyperlink r:id="rId15" w:history="1">
              <w:r w:rsidRPr="001F5025">
                <w:rPr>
                  <w:rStyle w:val="Hyperlink"/>
                  <w:b/>
                  <w:bCs/>
                  <w:color w:val="852057"/>
                  <w:spacing w:val="5"/>
                </w:rPr>
                <w:t>SOC 2</w:t>
              </w:r>
            </w:hyperlink>
          </w:p>
        </w:tc>
        <w:tc>
          <w:tcPr>
            <w:tcW w:w="3597" w:type="dxa"/>
            <w:shd w:val="clear" w:color="auto" w:fill="F4DC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6DFBAE" w14:textId="289C4BF3" w:rsidR="007B1751" w:rsidRPr="001F5025" w:rsidRDefault="5900254D" w:rsidP="5EE80EEC">
            <w:pPr>
              <w:spacing w:after="0"/>
              <w:jc w:val="center"/>
              <w:rPr>
                <w:rStyle w:val="BookTitle"/>
                <w:rFonts w:ascii="Century Gothic" w:hAnsi="Century Gothic"/>
                <w:b w:val="0"/>
                <w:bCs w:val="0"/>
                <w:i w:val="0"/>
                <w:iCs w:val="0"/>
                <w:color w:val="852057"/>
              </w:rPr>
            </w:pPr>
            <w:hyperlink r:id="rId16" w:history="1">
              <w:r w:rsidRPr="001F5025">
                <w:rPr>
                  <w:rStyle w:val="Hyperlink"/>
                  <w:b/>
                  <w:bCs/>
                  <w:color w:val="852057"/>
                  <w:spacing w:val="5"/>
                </w:rPr>
                <w:t>CMMC</w:t>
              </w:r>
            </w:hyperlink>
          </w:p>
        </w:tc>
      </w:tr>
    </w:tbl>
    <w:p w14:paraId="08EFD6B9" w14:textId="473B46E0" w:rsidR="00AF36AF" w:rsidRPr="006C1EB0" w:rsidRDefault="0036370D" w:rsidP="007B1751">
      <w:pPr>
        <w:rPr>
          <w:rStyle w:val="IntenseEmphasis"/>
          <w:rFonts w:ascii="Century Gothic" w:hAnsi="Century Gothic"/>
          <w:b/>
          <w:bCs/>
        </w:rPr>
      </w:pPr>
      <w:r w:rsidRPr="006C1EB0">
        <w:rPr>
          <w:rStyle w:val="IntenseEmphasis"/>
          <w:rFonts w:ascii="Century Gothic" w:hAnsi="Century Gothic"/>
          <w:b/>
          <w:color w:val="852057"/>
        </w:rPr>
        <w:br/>
        <w:t xml:space="preserve">Sensitive Data Types </w:t>
      </w:r>
    </w:p>
    <w:tbl>
      <w:tblPr>
        <w:tblW w:w="1079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2"/>
        <w:gridCol w:w="5683"/>
      </w:tblGrid>
      <w:tr w:rsidR="007B1751" w:rsidRPr="006C1EB0" w14:paraId="05886761" w14:textId="77777777" w:rsidTr="0056138C">
        <w:tc>
          <w:tcPr>
            <w:tcW w:w="5112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40D39BE" w14:textId="45A7A350" w:rsidR="007B1751" w:rsidRPr="006C1EB0" w:rsidRDefault="006F4037" w:rsidP="006F4037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PII and ePHI examples</w:t>
            </w:r>
          </w:p>
        </w:tc>
        <w:tc>
          <w:tcPr>
            <w:tcW w:w="5683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A6D1341" w14:textId="344EBF9C" w:rsidR="007B1751" w:rsidRPr="006C1EB0" w:rsidRDefault="00F25C3B" w:rsidP="00F25C3B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CUI and confidential examples</w:t>
            </w:r>
          </w:p>
        </w:tc>
      </w:tr>
      <w:tr w:rsidR="007B1751" w:rsidRPr="006C1EB0" w14:paraId="6C520C58" w14:textId="77777777" w:rsidTr="0056138C">
        <w:tc>
          <w:tcPr>
            <w:tcW w:w="0" w:type="auto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60810A7" w14:textId="77777777" w:rsidR="00B347FE" w:rsidRPr="006C1EB0" w:rsidRDefault="00B347FE">
            <w:pPr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Dates of birth, address, and phone.</w:t>
            </w:r>
          </w:p>
          <w:p w14:paraId="4E73A172" w14:textId="77777777" w:rsidR="00B347FE" w:rsidRPr="006C1EB0" w:rsidRDefault="00B347FE">
            <w:pPr>
              <w:rPr>
                <w:rFonts w:ascii="Century Gothic" w:hAnsi="Century Gothic"/>
              </w:rPr>
            </w:pPr>
            <w:r w:rsidRPr="006C1EB0">
              <w:rPr>
                <w:rFonts w:ascii="Century Gothic" w:hAnsi="Century Gothic"/>
                <w:color w:val="55666C"/>
              </w:rPr>
              <w:t>Passport, health, and national ID data.</w:t>
            </w:r>
          </w:p>
          <w:p w14:paraId="466DD56A" w14:textId="450576E5" w:rsidR="007B1751" w:rsidRPr="006C1EB0" w:rsidRDefault="00B347FE" w:rsidP="00B347FE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Bank account and credit card data.</w:t>
            </w:r>
          </w:p>
        </w:tc>
        <w:tc>
          <w:tcPr>
            <w:tcW w:w="5683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A119BF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Operations security information.</w:t>
            </w:r>
          </w:p>
          <w:p w14:paraId="0565B73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Proposals, RFPs, and contract data.</w:t>
            </w:r>
          </w:p>
          <w:p w14:paraId="2A32722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Controlled technical information.</w:t>
            </w:r>
          </w:p>
        </w:tc>
      </w:tr>
    </w:tbl>
    <w:p w14:paraId="22B0856E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i/>
          <w:iCs/>
        </w:rPr>
        <w:t xml:space="preserve">ISO 27001 scope is broad and covers any confidential info. SOC 2 narrows to customer PII and financial data. CMMC narrows </w:t>
      </w:r>
      <w:proofErr w:type="gramStart"/>
      <w:r w:rsidRPr="006C1EB0">
        <w:rPr>
          <w:rFonts w:ascii="Century Gothic" w:hAnsi="Century Gothic"/>
          <w:i/>
          <w:iCs/>
        </w:rPr>
        <w:t>tightest</w:t>
      </w:r>
      <w:proofErr w:type="gramEnd"/>
      <w:r w:rsidRPr="006C1EB0">
        <w:rPr>
          <w:rFonts w:ascii="Century Gothic" w:hAnsi="Century Gothic"/>
          <w:i/>
          <w:iCs/>
        </w:rPr>
        <w:t>, to CUI specifically.</w:t>
      </w:r>
    </w:p>
    <w:p w14:paraId="68FB915E" w14:textId="5060D29E" w:rsidR="00AF36AF" w:rsidRPr="006C1EB0" w:rsidRDefault="00FD7FE7" w:rsidP="007B1751">
      <w:pPr>
        <w:rPr>
          <w:rStyle w:val="IntenseEmphasis"/>
          <w:rFonts w:ascii="Century Gothic" w:hAnsi="Century Gothic"/>
          <w:b/>
          <w:bCs/>
        </w:rPr>
      </w:pPr>
      <w:r w:rsidRPr="006C1EB0">
        <w:rPr>
          <w:rStyle w:val="IntenseEmphasis"/>
          <w:rFonts w:ascii="Century Gothic" w:hAnsi="Century Gothic"/>
          <w:b/>
          <w:color w:val="852057"/>
        </w:rPr>
        <w:t>Authoritative Definitions</w:t>
      </w:r>
    </w:p>
    <w:p w14:paraId="1604BD22" w14:textId="52566E8E" w:rsidR="007B1751" w:rsidRPr="006C1EB0" w:rsidRDefault="43170B09" w:rsidP="007B1751">
      <w:r w:rsidRPr="5EE80EEC">
        <w:rPr>
          <w:rFonts w:ascii="Century Gothic" w:hAnsi="Century Gothic"/>
          <w:b/>
          <w:bCs/>
        </w:rPr>
        <w:t>PII:</w:t>
      </w:r>
      <w:r w:rsidRPr="5EE80EEC">
        <w:rPr>
          <w:rFonts w:ascii="Century Gothic" w:hAnsi="Century Gothic"/>
        </w:rPr>
        <w:t xml:space="preserve"> NIST SP 800-122, the federal reference for what counts as PII. </w:t>
      </w:r>
      <w:hyperlink r:id="rId17">
        <w:r w:rsidRPr="5EE80EEC">
          <w:rPr>
            <w:rFonts w:ascii="Century Gothic" w:hAnsi="Century Gothic"/>
            <w:u w:val="single"/>
          </w:rPr>
          <w:t>https://csrc.nist.gov/pubs/sp/800/122/final</w:t>
        </w:r>
      </w:hyperlink>
      <w:r w:rsidR="29405397" w:rsidRPr="5EE80EEC">
        <w:rPr>
          <w:rFonts w:ascii="Century Gothic" w:hAnsi="Century Gothic"/>
          <w:u w:val="single"/>
        </w:rPr>
        <w:t xml:space="preserve"> </w:t>
      </w:r>
    </w:p>
    <w:p w14:paraId="4ED8901A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ePHI:</w:t>
      </w:r>
      <w:r w:rsidRPr="006C1EB0">
        <w:rPr>
          <w:rFonts w:ascii="Century Gothic" w:hAnsi="Century Gothic"/>
        </w:rPr>
        <w:t xml:space="preserve"> HHS guidance on what is PHI, plus the Security Rule summary. </w:t>
      </w:r>
      <w:hyperlink r:id="rId18" w:history="1">
        <w:r w:rsidRPr="006C1EB0">
          <w:rPr>
            <w:rFonts w:ascii="Century Gothic" w:hAnsi="Century Gothic"/>
            <w:u w:val="single"/>
          </w:rPr>
          <w:t>hhs.gov/answers/</w:t>
        </w:r>
        <w:proofErr w:type="spellStart"/>
        <w:r w:rsidRPr="006C1EB0">
          <w:rPr>
            <w:rFonts w:ascii="Century Gothic" w:hAnsi="Century Gothic"/>
            <w:u w:val="single"/>
          </w:rPr>
          <w:t>hipaa</w:t>
        </w:r>
        <w:proofErr w:type="spellEnd"/>
        <w:r w:rsidRPr="006C1EB0">
          <w:rPr>
            <w:rFonts w:ascii="Century Gothic" w:hAnsi="Century Gothic"/>
            <w:u w:val="single"/>
          </w:rPr>
          <w:t>/what-is-phi</w:t>
        </w:r>
      </w:hyperlink>
    </w:p>
    <w:p w14:paraId="651D0B9C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CUI:</w:t>
      </w:r>
      <w:r w:rsidRPr="006C1EB0">
        <w:rPr>
          <w:rFonts w:ascii="Century Gothic" w:hAnsi="Century Gothic"/>
        </w:rPr>
        <w:t xml:space="preserve"> The NARA CUI Registry, the government-wide list of every category. </w:t>
      </w:r>
      <w:hyperlink r:id="rId19" w:history="1">
        <w:r w:rsidRPr="006C1EB0">
          <w:rPr>
            <w:rFonts w:ascii="Century Gothic" w:hAnsi="Century Gothic"/>
            <w:u w:val="single"/>
          </w:rPr>
          <w:t>archives.gov/cui/registry/category-list</w:t>
        </w:r>
      </w:hyperlink>
    </w:p>
    <w:p w14:paraId="26535B88" w14:textId="77777777" w:rsidR="007B1751" w:rsidRPr="006C1EB0" w:rsidRDefault="007B1751" w:rsidP="007B1751">
      <w:pPr>
        <w:spacing w:after="0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Scope statement:</w:t>
      </w:r>
      <w:r w:rsidRPr="006C1EB0">
        <w:rPr>
          <w:rFonts w:ascii="Century Gothic" w:hAnsi="Century Gothic"/>
        </w:rPr>
        <w:t xml:space="preserve"> one sentence on what business activities, functions, or services this program covers. Example: “This program covers all information systems, cloud services, and business processes used to deliver our services to clients, including our corporate network, customer data platform, and remote work environments.”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B1751" w:rsidRPr="006C1EB0" w14:paraId="673F3617" w14:textId="77777777" w:rsidTr="0029607A">
        <w:tc>
          <w:tcPr>
            <w:tcW w:w="10880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2D8C" w14:textId="31018022" w:rsidR="007B1751" w:rsidRPr="006C1EB0" w:rsidRDefault="0029607A" w:rsidP="0029607A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Description of activities</w:t>
            </w:r>
          </w:p>
        </w:tc>
      </w:tr>
      <w:tr w:rsidR="007B1751" w:rsidRPr="006C1EB0" w14:paraId="6187E92B" w14:textId="77777777" w:rsidTr="00BB2D44">
        <w:trPr>
          <w:trHeight w:val="488"/>
        </w:trPr>
        <w:tc>
          <w:tcPr>
            <w:tcW w:w="10880" w:type="dxa"/>
            <w:shd w:val="clear" w:color="auto" w:fill="FFFFFF" w:themeFill="background1"/>
          </w:tcPr>
          <w:p w14:paraId="7F0AEF36" w14:textId="77777777" w:rsidR="007B1751" w:rsidRPr="006C1EB0" w:rsidRDefault="007B1751" w:rsidP="00BB2D44">
            <w:pPr>
              <w:widowControl/>
              <w:autoSpaceDE/>
              <w:autoSpaceDN/>
              <w:rPr>
                <w:rFonts w:ascii="Century Gothic" w:hAnsi="Century Gothic"/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</w:tr>
    </w:tbl>
    <w:p w14:paraId="36090EE2" w14:textId="77777777" w:rsidR="007B1751" w:rsidRPr="006C1EB0" w:rsidRDefault="007B1751" w:rsidP="007B1751">
      <w:pPr>
        <w:spacing w:before="240" w:after="0"/>
        <w:rPr>
          <w:rFonts w:ascii="Century Gothic" w:hAnsi="Century Gothic"/>
          <w:b/>
          <w:bCs/>
        </w:rPr>
      </w:pPr>
      <w:r w:rsidRPr="006C1EB0">
        <w:rPr>
          <w:rFonts w:ascii="Century Gothic" w:hAnsi="Century Gothic"/>
          <w:b/>
          <w:bCs/>
        </w:rPr>
        <w:t>Locations and Business Units in scope</w:t>
      </w:r>
    </w:p>
    <w:tbl>
      <w:tblPr>
        <w:tblW w:w="1079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000"/>
        <w:gridCol w:w="2595"/>
      </w:tblGrid>
      <w:tr w:rsidR="007B1751" w:rsidRPr="006C1EB0" w14:paraId="3335A8FF" w14:textId="77777777" w:rsidTr="00F74E78">
        <w:tc>
          <w:tcPr>
            <w:tcW w:w="3200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148CBC09" w14:textId="12A3C9B2" w:rsidR="007B1751" w:rsidRPr="006C1EB0" w:rsidRDefault="000B0193" w:rsidP="000B0193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Location or Business Unit</w:t>
            </w:r>
          </w:p>
        </w:tc>
        <w:tc>
          <w:tcPr>
            <w:tcW w:w="50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76166721" w14:textId="0A69B62C" w:rsidR="007B1751" w:rsidRPr="006C1EB0" w:rsidRDefault="00CB6B75" w:rsidP="00CB6B75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Description of activities</w:t>
            </w:r>
          </w:p>
        </w:tc>
        <w:tc>
          <w:tcPr>
            <w:tcW w:w="259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47F503A" w14:textId="29FC0FE4" w:rsidR="007B1751" w:rsidRPr="006C1EB0" w:rsidRDefault="00F74E78" w:rsidP="00F74E78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Included / excluded</w:t>
            </w:r>
          </w:p>
        </w:tc>
      </w:tr>
      <w:tr w:rsidR="007B1751" w:rsidRPr="006C1EB0" w14:paraId="0829AF4C" w14:textId="77777777" w:rsidTr="00BB2D44">
        <w:trPr>
          <w:trHeight w:val="210"/>
        </w:trPr>
        <w:tc>
          <w:tcPr>
            <w:tcW w:w="3200" w:type="dxa"/>
            <w:shd w:val="clear" w:color="auto" w:fill="FFFFFF" w:themeFill="background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A11601" w14:textId="77777777" w:rsidR="007B1751" w:rsidRPr="006C1EB0" w:rsidRDefault="007B1751" w:rsidP="00BB2D44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5000" w:type="dxa"/>
            <w:shd w:val="clear" w:color="auto" w:fill="FFFFFF" w:themeFill="background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AD5F643" w14:textId="77777777" w:rsidR="007B1751" w:rsidRPr="006C1EB0" w:rsidRDefault="007B1751" w:rsidP="00BB2D44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2595" w:type="dxa"/>
            <w:shd w:val="clear" w:color="auto" w:fill="FFFFFF" w:themeFill="background1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553046" w14:textId="77777777" w:rsidR="007B1751" w:rsidRPr="006C1EB0" w:rsidRDefault="007B1751" w:rsidP="00BB2D44">
            <w:pPr>
              <w:rPr>
                <w:rFonts w:ascii="Century Gothic" w:hAnsi="Century Gothic"/>
                <w:color w:val="FFFFFF" w:themeColor="background1"/>
              </w:rPr>
            </w:pPr>
          </w:p>
        </w:tc>
      </w:tr>
      <w:tr w:rsidR="007B1751" w:rsidRPr="006C1EB0" w14:paraId="53AF8AF3" w14:textId="77777777" w:rsidTr="00BB2D44">
        <w:trPr>
          <w:trHeight w:val="210"/>
        </w:trPr>
        <w:tc>
          <w:tcPr>
            <w:tcW w:w="32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2369D1F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50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436960A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595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26C70F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019D5FB8" w14:textId="77777777" w:rsidTr="00BB2D44">
        <w:trPr>
          <w:trHeight w:val="210"/>
        </w:trPr>
        <w:tc>
          <w:tcPr>
            <w:tcW w:w="32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07279E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50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2BB3C6E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595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40A1391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47B95FC0" w14:textId="77777777" w:rsidTr="00BB2D44">
        <w:trPr>
          <w:trHeight w:val="210"/>
        </w:trPr>
        <w:tc>
          <w:tcPr>
            <w:tcW w:w="32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6DD89C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50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A1B861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595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F39575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</w:tbl>
    <w:p w14:paraId="2D9B3612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Asset list:</w:t>
      </w:r>
      <w:r w:rsidRPr="006C1EB0">
        <w:rPr>
          <w:rFonts w:ascii="Century Gothic" w:hAnsi="Century Gothic"/>
        </w:rPr>
        <w:t xml:space="preserve"> every SaaS tool, system, or vendor product that touches your data. Tracked by category, owner, and criticality.</w:t>
      </w:r>
    </w:p>
    <w:tbl>
      <w:tblPr>
        <w:tblW w:w="1070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750"/>
        <w:gridCol w:w="1650"/>
        <w:gridCol w:w="1600"/>
        <w:gridCol w:w="3305"/>
      </w:tblGrid>
      <w:tr w:rsidR="007B1751" w:rsidRPr="006C1EB0" w14:paraId="799A4126" w14:textId="77777777" w:rsidTr="00857730">
        <w:tc>
          <w:tcPr>
            <w:tcW w:w="2400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36762AE7" w14:textId="751A2FFE" w:rsidR="007B1751" w:rsidRPr="006C1EB0" w:rsidRDefault="007925C5" w:rsidP="007925C5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lastRenderedPageBreak/>
              <w:t>Asset or vendor</w:t>
            </w:r>
          </w:p>
        </w:tc>
        <w:tc>
          <w:tcPr>
            <w:tcW w:w="175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6E58BC01" w14:textId="7ECDFCE6" w:rsidR="007B1751" w:rsidRPr="006C1EB0" w:rsidRDefault="00632945" w:rsidP="00632945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Category</w:t>
            </w:r>
          </w:p>
        </w:tc>
        <w:tc>
          <w:tcPr>
            <w:tcW w:w="165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5D315544" w14:textId="2D532965" w:rsidR="007B1751" w:rsidRPr="006C1EB0" w:rsidRDefault="00CA7BEB" w:rsidP="00CA7BEB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Business impact</w:t>
            </w:r>
          </w:p>
        </w:tc>
        <w:tc>
          <w:tcPr>
            <w:tcW w:w="16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48A108EA" w14:textId="207EE23E" w:rsidR="007B1751" w:rsidRPr="006C1EB0" w:rsidRDefault="00F47B41" w:rsidP="00F47B41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Owner</w:t>
            </w:r>
          </w:p>
        </w:tc>
        <w:tc>
          <w:tcPr>
            <w:tcW w:w="330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64DFD278" w14:textId="5E97EA16" w:rsidR="007B1751" w:rsidRPr="006C1EB0" w:rsidRDefault="00857730" w:rsidP="00857730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Data location</w:t>
            </w:r>
          </w:p>
        </w:tc>
      </w:tr>
      <w:tr w:rsidR="007B1751" w:rsidRPr="006C1EB0" w14:paraId="688F0F97" w14:textId="77777777" w:rsidTr="009369C7">
        <w:trPr>
          <w:trHeight w:val="210"/>
        </w:trPr>
        <w:tc>
          <w:tcPr>
            <w:tcW w:w="2400" w:type="dxa"/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2DC23CCD" w14:textId="77777777" w:rsidR="007B1751" w:rsidRPr="006C1EB0" w:rsidRDefault="007B1751" w:rsidP="00F86720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750" w:type="dxa"/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0FA350D4" w14:textId="77777777" w:rsidR="007B1751" w:rsidRPr="006C1EB0" w:rsidRDefault="007B1751" w:rsidP="0058156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50" w:type="dxa"/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07608C04" w14:textId="77777777" w:rsidR="007B1751" w:rsidRPr="006C1EB0" w:rsidRDefault="007B1751" w:rsidP="0082490E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00" w:type="dxa"/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1DE8355F" w14:textId="77777777" w:rsidR="007B1751" w:rsidRPr="006C1EB0" w:rsidRDefault="007B1751" w:rsidP="004C1302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305" w:type="dxa"/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70542EA9" w14:textId="77777777" w:rsidR="007B1751" w:rsidRPr="006C1EB0" w:rsidRDefault="007B1751" w:rsidP="009369C7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40F69786" w14:textId="77777777" w:rsidTr="00BB2D44">
        <w:trPr>
          <w:trHeight w:val="210"/>
        </w:trPr>
        <w:tc>
          <w:tcPr>
            <w:tcW w:w="2400" w:type="dxa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5355F9FB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750" w:type="dxa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24640221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50" w:type="dxa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2BB26DB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00" w:type="dxa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7727515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305" w:type="dxa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3A67F389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37791C44" w14:textId="77777777" w:rsidTr="003831A5">
        <w:trPr>
          <w:trHeight w:val="210"/>
        </w:trPr>
        <w:tc>
          <w:tcPr>
            <w:tcW w:w="2400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4F1FD7D4" w14:textId="77777777" w:rsidR="007B1751" w:rsidRPr="006C1EB0" w:rsidRDefault="007B1751" w:rsidP="00775570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13A7CC4A" w14:textId="77777777" w:rsidR="007B1751" w:rsidRPr="006C1EB0" w:rsidRDefault="007B1751" w:rsidP="00136E13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2754F86B" w14:textId="77777777" w:rsidR="007B1751" w:rsidRPr="006C1EB0" w:rsidRDefault="007B1751" w:rsidP="00852DE2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01CAE9EE" w14:textId="77777777" w:rsidR="007B1751" w:rsidRPr="006C1EB0" w:rsidRDefault="007B1751" w:rsidP="00425FB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607D06C2" w14:textId="77777777" w:rsidR="007B1751" w:rsidRPr="006C1EB0" w:rsidRDefault="007B1751" w:rsidP="003831A5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06DB2A74" w14:textId="77777777" w:rsidTr="00BB2D44">
        <w:trPr>
          <w:trHeight w:val="210"/>
        </w:trPr>
        <w:tc>
          <w:tcPr>
            <w:tcW w:w="24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3C3E3AB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75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3A603CE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5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190E28E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4F436FAB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305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691FDFD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7C8369F7" w14:textId="77777777" w:rsidTr="00775697">
        <w:trPr>
          <w:trHeight w:val="210"/>
        </w:trPr>
        <w:tc>
          <w:tcPr>
            <w:tcW w:w="2400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20F85479" w14:textId="77777777" w:rsidR="007B1751" w:rsidRPr="006C1EB0" w:rsidRDefault="007B1751" w:rsidP="002F69CC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71CD5F80" w14:textId="77777777" w:rsidR="007B1751" w:rsidRPr="006C1EB0" w:rsidRDefault="007B1751" w:rsidP="004C0C30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6ED59E85" w14:textId="77777777" w:rsidR="007B1751" w:rsidRPr="006C1EB0" w:rsidRDefault="007B1751" w:rsidP="00C32289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142F393F" w14:textId="77777777" w:rsidR="007B1751" w:rsidRPr="006C1EB0" w:rsidRDefault="007B1751" w:rsidP="00051FB0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  <w:hideMark/>
          </w:tcPr>
          <w:p w14:paraId="72B3F323" w14:textId="77777777" w:rsidR="007B1751" w:rsidRPr="006C1EB0" w:rsidRDefault="007B1751" w:rsidP="00775697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4AC54FA2" w14:textId="77777777" w:rsidTr="00BB2D44">
        <w:trPr>
          <w:trHeight w:val="210"/>
        </w:trPr>
        <w:tc>
          <w:tcPr>
            <w:tcW w:w="24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58852A6E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75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07B9A7F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5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786E4935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6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39FB6E3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305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20" w:type="dxa"/>
              <w:left w:w="110" w:type="dxa"/>
              <w:bottom w:w="20" w:type="dxa"/>
              <w:right w:w="110" w:type="dxa"/>
            </w:tcMar>
            <w:vAlign w:val="center"/>
          </w:tcPr>
          <w:p w14:paraId="7DC00679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</w:tbl>
    <w:p w14:paraId="0E8CE77A" w14:textId="77777777" w:rsidR="007B1751" w:rsidRPr="006C1EB0" w:rsidRDefault="007B1751" w:rsidP="007B1751">
      <w:pPr>
        <w:spacing w:before="240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Vendors in scope:</w:t>
      </w:r>
      <w:r w:rsidRPr="006C1EB0">
        <w:rPr>
          <w:rFonts w:ascii="Century Gothic" w:hAnsi="Century Gothic"/>
        </w:rPr>
        <w:t xml:space="preserve"> anyone who touches your systems or data is part of your attack surface.</w:t>
      </w:r>
    </w:p>
    <w:tbl>
      <w:tblPr>
        <w:tblW w:w="1070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200"/>
        <w:gridCol w:w="1800"/>
        <w:gridCol w:w="2305"/>
      </w:tblGrid>
      <w:tr w:rsidR="007B1751" w:rsidRPr="006C1EB0" w14:paraId="3DF4EB2B" w14:textId="77777777" w:rsidTr="001A62E9">
        <w:tc>
          <w:tcPr>
            <w:tcW w:w="2400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4E98DCD4" w14:textId="44890A74" w:rsidR="007B1751" w:rsidRPr="006C1EB0" w:rsidRDefault="000152FE" w:rsidP="000152FE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Vendor</w:t>
            </w:r>
          </w:p>
        </w:tc>
        <w:tc>
          <w:tcPr>
            <w:tcW w:w="42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95CA2FB" w14:textId="5F6CFD34" w:rsidR="007B1751" w:rsidRPr="006C1EB0" w:rsidRDefault="00162EE8" w:rsidP="00162EE8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What they access</w:t>
            </w:r>
          </w:p>
        </w:tc>
        <w:tc>
          <w:tcPr>
            <w:tcW w:w="18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1E55B96" w14:textId="259DD710" w:rsidR="007B1751" w:rsidRPr="006C1EB0" w:rsidRDefault="00972092" w:rsidP="00972092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Critical</w:t>
            </w:r>
          </w:p>
        </w:tc>
        <w:tc>
          <w:tcPr>
            <w:tcW w:w="230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66F7729D" w14:textId="7FB266D9" w:rsidR="007B1751" w:rsidRPr="006C1EB0" w:rsidRDefault="001A62E9" w:rsidP="001A62E9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Last reviewed</w:t>
            </w:r>
          </w:p>
        </w:tc>
      </w:tr>
      <w:tr w:rsidR="007B1751" w:rsidRPr="006C1EB0" w14:paraId="2662EB0F" w14:textId="77777777" w:rsidTr="00CC02B0">
        <w:trPr>
          <w:trHeight w:val="210"/>
        </w:trPr>
        <w:tc>
          <w:tcPr>
            <w:tcW w:w="2400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77EEAD4E" w14:textId="77777777" w:rsidR="007B1751" w:rsidRPr="006C1EB0" w:rsidRDefault="007B1751" w:rsidP="008C64F8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200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1A7B7DA1" w14:textId="77777777" w:rsidR="007B1751" w:rsidRPr="006C1EB0" w:rsidRDefault="007B1751" w:rsidP="008D6CBF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0E8F395F" w14:textId="77777777" w:rsidR="007B1751" w:rsidRPr="006C1EB0" w:rsidRDefault="007B1751" w:rsidP="00260472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305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2798A79D" w14:textId="77777777" w:rsidR="007B1751" w:rsidRPr="006C1EB0" w:rsidRDefault="007B1751" w:rsidP="00CC02B0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370FFA5C" w14:textId="77777777" w:rsidTr="00BB2D44">
        <w:trPr>
          <w:trHeight w:val="210"/>
        </w:trPr>
        <w:tc>
          <w:tcPr>
            <w:tcW w:w="24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BE05AB1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2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90413A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C723E2A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305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5C7A4F3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173E34AD" w14:textId="77777777" w:rsidTr="000916A9">
        <w:trPr>
          <w:trHeight w:val="210"/>
        </w:trPr>
        <w:tc>
          <w:tcPr>
            <w:tcW w:w="2400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7B046D77" w14:textId="77777777" w:rsidR="007B1751" w:rsidRPr="006C1EB0" w:rsidRDefault="007B1751" w:rsidP="00EE497D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73E86A75" w14:textId="77777777" w:rsidR="007B1751" w:rsidRPr="006C1EB0" w:rsidRDefault="007B1751" w:rsidP="009C79AA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36491100" w14:textId="77777777" w:rsidR="007B1751" w:rsidRPr="006C1EB0" w:rsidRDefault="007B1751" w:rsidP="008004CA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2C1E08A4" w14:textId="77777777" w:rsidR="007B1751" w:rsidRPr="006C1EB0" w:rsidRDefault="007B1751" w:rsidP="000916A9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4BF566F3" w14:textId="77777777" w:rsidTr="00BB2D44">
        <w:trPr>
          <w:trHeight w:val="210"/>
        </w:trPr>
        <w:tc>
          <w:tcPr>
            <w:tcW w:w="24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877940F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2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E77DAAB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70C9615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305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8E673C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5A29F50A" w14:textId="77777777" w:rsidTr="002520DE">
        <w:trPr>
          <w:trHeight w:val="210"/>
        </w:trPr>
        <w:tc>
          <w:tcPr>
            <w:tcW w:w="2400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207B4C33" w14:textId="77777777" w:rsidR="007B1751" w:rsidRPr="006C1EB0" w:rsidRDefault="007B1751" w:rsidP="007869AF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352704CA" w14:textId="77777777" w:rsidR="007B1751" w:rsidRPr="006C1EB0" w:rsidRDefault="007B1751" w:rsidP="009A7D21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34EF7F11" w14:textId="77777777" w:rsidR="007B1751" w:rsidRPr="006C1EB0" w:rsidRDefault="007B1751" w:rsidP="00930D9B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62EA862A" w14:textId="77777777" w:rsidR="007B1751" w:rsidRPr="006C1EB0" w:rsidRDefault="007B1751" w:rsidP="002520DE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7E0D23C3" w14:textId="77777777" w:rsidTr="00BB2D44">
        <w:trPr>
          <w:trHeight w:val="210"/>
        </w:trPr>
        <w:tc>
          <w:tcPr>
            <w:tcW w:w="24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6AA5D2C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2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0C520FA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58ECEF1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305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2A5CF4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</w:tbl>
    <w:p w14:paraId="5921FBA8" w14:textId="77777777" w:rsidR="007B1751" w:rsidRPr="006C1EB0" w:rsidRDefault="007B1751" w:rsidP="007B1751">
      <w:pPr>
        <w:spacing w:before="240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Vendor due diligence:</w:t>
      </w:r>
      <w:r w:rsidRPr="006C1EB0">
        <w:rPr>
          <w:rFonts w:ascii="Century Gothic" w:hAnsi="Century Gothic"/>
        </w:rPr>
        <w:t xml:space="preserve"> NIST SP 1326 covers foreign ownership, provenance, resilience, and foundational cyber practices. </w:t>
      </w:r>
      <w:hyperlink r:id="rId20" w:history="1">
        <w:r w:rsidRPr="006C1EB0">
          <w:rPr>
            <w:rFonts w:ascii="Century Gothic" w:hAnsi="Century Gothic"/>
            <w:color w:val="852057"/>
            <w:u w:val="single"/>
          </w:rPr>
          <w:t>https://csrc.nist.gov/pubs/sp/1326/final</w:t>
        </w:r>
      </w:hyperlink>
    </w:p>
    <w:p w14:paraId="07C033C7" w14:textId="77777777" w:rsidR="007B1751" w:rsidRPr="006C1EB0" w:rsidRDefault="007B1751" w:rsidP="007B1751">
      <w:pPr>
        <w:rPr>
          <w:rFonts w:ascii="Century Gothic" w:hAnsi="Century Gothic"/>
          <w:i/>
          <w:iCs/>
        </w:rPr>
      </w:pPr>
      <w:r w:rsidRPr="006C1EB0">
        <w:rPr>
          <w:rFonts w:ascii="Century Gothic" w:hAnsi="Century Gothic"/>
          <w:i/>
          <w:iCs/>
        </w:rPr>
        <w:t>The scope should be approved by executive management and reviewed at least once a year.</w:t>
      </w:r>
    </w:p>
    <w:p w14:paraId="738F014D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Exclusions and justification:</w:t>
      </w:r>
      <w:r w:rsidRPr="006C1EB0">
        <w:rPr>
          <w:rFonts w:ascii="Century Gothic" w:hAnsi="Century Gothic"/>
        </w:rPr>
        <w:t xml:space="preserve"> an exclusion without one is a gap an auditor will flag.</w:t>
      </w:r>
    </w:p>
    <w:tbl>
      <w:tblPr>
        <w:tblW w:w="1070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00"/>
        <w:gridCol w:w="4705"/>
      </w:tblGrid>
      <w:tr w:rsidR="007B1751" w:rsidRPr="006C1EB0" w14:paraId="7186B0F6" w14:textId="77777777" w:rsidTr="00CA6AEB">
        <w:tc>
          <w:tcPr>
            <w:tcW w:w="2400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031E706" w14:textId="0AB0F49B" w:rsidR="007B1751" w:rsidRPr="006C1EB0" w:rsidRDefault="00885DAF" w:rsidP="00885DAF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Excluded item</w:t>
            </w:r>
          </w:p>
        </w:tc>
        <w:tc>
          <w:tcPr>
            <w:tcW w:w="36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2578BB5B" w14:textId="615813CF" w:rsidR="007B1751" w:rsidRPr="006C1EB0" w:rsidRDefault="007C697D" w:rsidP="007C697D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Reason for exclusion</w:t>
            </w:r>
          </w:p>
        </w:tc>
        <w:tc>
          <w:tcPr>
            <w:tcW w:w="470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23B8544C" w14:textId="32630EF3" w:rsidR="007B1751" w:rsidRPr="006C1EB0" w:rsidRDefault="00CA6AEB" w:rsidP="00CA6AEB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Justification: no impact on obligations</w:t>
            </w:r>
          </w:p>
        </w:tc>
      </w:tr>
      <w:tr w:rsidR="007B1751" w:rsidRPr="006C1EB0" w14:paraId="6161412F" w14:textId="77777777" w:rsidTr="00563A49">
        <w:trPr>
          <w:trHeight w:val="210"/>
        </w:trPr>
        <w:tc>
          <w:tcPr>
            <w:tcW w:w="2400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73FC6E6" w14:textId="77777777" w:rsidR="007B1751" w:rsidRPr="006C1EB0" w:rsidRDefault="007B1751" w:rsidP="005C2E9F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600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44BE575F" w14:textId="77777777" w:rsidR="007B1751" w:rsidRPr="006C1EB0" w:rsidRDefault="007B1751" w:rsidP="004A6183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705" w:type="dxa"/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52AADFA" w14:textId="77777777" w:rsidR="007B1751" w:rsidRPr="006C1EB0" w:rsidRDefault="007B1751" w:rsidP="00563A49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3B555A68" w14:textId="77777777" w:rsidTr="00BB2D44">
        <w:trPr>
          <w:trHeight w:val="210"/>
        </w:trPr>
        <w:tc>
          <w:tcPr>
            <w:tcW w:w="24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B0EA175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600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B54E93C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705" w:type="dxa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38473A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4AFE4F9D" w14:textId="77777777" w:rsidTr="00A233F8">
        <w:trPr>
          <w:trHeight w:val="210"/>
        </w:trPr>
        <w:tc>
          <w:tcPr>
            <w:tcW w:w="2400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547A1D20" w14:textId="77777777" w:rsidR="007B1751" w:rsidRPr="006C1EB0" w:rsidRDefault="007B1751" w:rsidP="00963FDD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6BBC2A31" w14:textId="77777777" w:rsidR="007B1751" w:rsidRPr="006C1EB0" w:rsidRDefault="007B1751" w:rsidP="004771D1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2CAB8447" w14:textId="77777777" w:rsidR="007B1751" w:rsidRPr="006C1EB0" w:rsidRDefault="007B1751" w:rsidP="00A233F8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2DC95095" w14:textId="77777777" w:rsidTr="00BB2D44">
        <w:trPr>
          <w:trHeight w:val="210"/>
        </w:trPr>
        <w:tc>
          <w:tcPr>
            <w:tcW w:w="24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941203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600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27E94B5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705" w:type="dxa"/>
            <w:tcBorders>
              <w:top w:val="single" w:sz="4" w:space="0" w:color="DFE5E3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1BC7B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4311621C" w14:textId="77777777" w:rsidTr="0055658F">
        <w:trPr>
          <w:trHeight w:val="210"/>
        </w:trPr>
        <w:tc>
          <w:tcPr>
            <w:tcW w:w="2400" w:type="dxa"/>
            <w:tcBorders>
              <w:top w:val="nil"/>
              <w:left w:val="single" w:sz="4" w:space="0" w:color="DFE5E3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1F253847" w14:textId="77777777" w:rsidR="007B1751" w:rsidRPr="006C1EB0" w:rsidRDefault="007B1751" w:rsidP="0091234D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71ECAE97" w14:textId="77777777" w:rsidR="007B1751" w:rsidRPr="006C1EB0" w:rsidRDefault="007B1751" w:rsidP="004C43F9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DFE5E3"/>
              <w:right w:val="single" w:sz="4" w:space="0" w:color="DFE5E3"/>
            </w:tcBorders>
            <w:shd w:val="clear" w:color="auto" w:fill="F4DCE6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  <w:hideMark/>
          </w:tcPr>
          <w:p w14:paraId="1FF2DCE8" w14:textId="77777777" w:rsidR="007B1751" w:rsidRPr="006C1EB0" w:rsidRDefault="007B1751" w:rsidP="0055658F">
            <w:pPr>
              <w:rPr>
                <w:rFonts w:ascii="Century Gothic" w:hAnsi="Century Gothic"/>
                <w:color w:val="3B4D59"/>
              </w:rPr>
            </w:pPr>
          </w:p>
        </w:tc>
      </w:tr>
    </w:tbl>
    <w:p w14:paraId="0CED9DFF" w14:textId="229445C5" w:rsidR="00AF36AF" w:rsidRPr="006C1EB0" w:rsidRDefault="00EC412E" w:rsidP="007B1751">
      <w:pPr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br/>
        <w:t>Step 2: Compliance Gap Assessment &amp; Risk Assessment</w:t>
      </w:r>
    </w:p>
    <w:p w14:paraId="12D3009A" w14:textId="77777777" w:rsidR="007B1751" w:rsidRPr="006C1EB0" w:rsidRDefault="007B1751" w:rsidP="007B1751">
      <w:pPr>
        <w:rPr>
          <w:rFonts w:ascii="Century Gothic" w:hAnsi="Century Gothic"/>
          <w:color w:val="3B4D59"/>
        </w:rPr>
      </w:pPr>
      <w:r w:rsidRPr="006C1EB0">
        <w:rPr>
          <w:rFonts w:ascii="Century Gothic" w:hAnsi="Century Gothic"/>
        </w:rPr>
        <w:t xml:space="preserve">Two things happen here. A compliance gap assessment maps your current state against your chosen framework, control by control. A risk assessment scores each gap by likelihood and impact, so the ones that </w:t>
      </w:r>
      <w:proofErr w:type="gramStart"/>
      <w:r w:rsidRPr="006C1EB0">
        <w:rPr>
          <w:rFonts w:ascii="Century Gothic" w:hAnsi="Century Gothic"/>
        </w:rPr>
        <w:t>actually threaten</w:t>
      </w:r>
      <w:proofErr w:type="gramEnd"/>
      <w:r w:rsidRPr="006C1EB0">
        <w:rPr>
          <w:rFonts w:ascii="Century Gothic" w:hAnsi="Century Gothic"/>
        </w:rPr>
        <w:t xml:space="preserve"> the business get fixed first, not the ones that are loudest.</w:t>
      </w:r>
    </w:p>
    <w:p w14:paraId="43CAD9EE" w14:textId="77777777" w:rsidR="007B1751" w:rsidRPr="006C1EB0" w:rsidRDefault="007B1751" w:rsidP="007B1751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 w:rsidRPr="006C1EB0">
        <w:rPr>
          <w:rFonts w:ascii="Century Gothic" w:hAnsi="Century Gothic"/>
        </w:rPr>
        <w:t>Assign an owner to every finding as you go, not after remediation starts.</w:t>
      </w:r>
    </w:p>
    <w:p w14:paraId="58174BF6" w14:textId="77777777" w:rsidR="007B1751" w:rsidRPr="006C1EB0" w:rsidRDefault="007B1751" w:rsidP="007B1751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 w:rsidRPr="006C1EB0">
        <w:rPr>
          <w:rFonts w:ascii="Century Gothic" w:hAnsi="Century Gothic"/>
        </w:rPr>
        <w:t>Score every gap: likelihood times impact, not gut feel. That score is the risk level and sets the order you remediate in.</w:t>
      </w:r>
    </w:p>
    <w:tbl>
      <w:tblPr>
        <w:tblW w:w="1043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1800"/>
        <w:gridCol w:w="1400"/>
        <w:gridCol w:w="2035"/>
      </w:tblGrid>
      <w:tr w:rsidR="007B1751" w:rsidRPr="006C1EB0" w14:paraId="6B3CB545" w14:textId="77777777" w:rsidTr="004368E6">
        <w:tc>
          <w:tcPr>
            <w:tcW w:w="2600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0CA07AB" w14:textId="4347458C" w:rsidR="007B1751" w:rsidRPr="006C1EB0" w:rsidRDefault="00F274F0" w:rsidP="00F274F0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lastRenderedPageBreak/>
              <w:t>Requirement</w:t>
            </w:r>
          </w:p>
        </w:tc>
        <w:tc>
          <w:tcPr>
            <w:tcW w:w="26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194E2CB" w14:textId="7201C2C8" w:rsidR="007B1751" w:rsidRPr="006C1EB0" w:rsidRDefault="001C6EAC" w:rsidP="001C6EAC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Current state</w:t>
            </w:r>
          </w:p>
        </w:tc>
        <w:tc>
          <w:tcPr>
            <w:tcW w:w="18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7CD5E03" w14:textId="1934D00A" w:rsidR="007B1751" w:rsidRPr="006C1EB0" w:rsidRDefault="00932612" w:rsidP="00932612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Risk level</w:t>
            </w:r>
          </w:p>
        </w:tc>
        <w:tc>
          <w:tcPr>
            <w:tcW w:w="1400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C9C71E1" w14:textId="260D04E4" w:rsidR="007B1751" w:rsidRPr="006C1EB0" w:rsidRDefault="00D857E6" w:rsidP="00D857E6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Owner</w:t>
            </w:r>
          </w:p>
        </w:tc>
        <w:tc>
          <w:tcPr>
            <w:tcW w:w="203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78C9A7F1" w14:textId="07C8ED33" w:rsidR="007B1751" w:rsidRPr="006C1EB0" w:rsidRDefault="004368E6" w:rsidP="004368E6">
            <w:pPr>
              <w:spacing w:after="0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Target date</w:t>
            </w:r>
          </w:p>
        </w:tc>
      </w:tr>
      <w:tr w:rsidR="007B1751" w:rsidRPr="006C1EB0" w14:paraId="4AA54FFE" w14:textId="77777777" w:rsidTr="00E53A0E">
        <w:trPr>
          <w:trHeight w:val="380"/>
        </w:trPr>
        <w:tc>
          <w:tcPr>
            <w:tcW w:w="26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303077D" w14:textId="77777777" w:rsidR="007B1751" w:rsidRPr="006C1EB0" w:rsidRDefault="007B1751" w:rsidP="00FA688E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6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642FDC7" w14:textId="77777777" w:rsidR="007B1751" w:rsidRPr="006C1EB0" w:rsidRDefault="007B1751" w:rsidP="00A46BB0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30EC46A" w14:textId="77777777" w:rsidR="007B1751" w:rsidRPr="006C1EB0" w:rsidRDefault="007B1751" w:rsidP="00DC003B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4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6891D991" w14:textId="77777777" w:rsidR="007B1751" w:rsidRPr="006C1EB0" w:rsidRDefault="007B1751" w:rsidP="00ED4642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035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E547F52" w14:textId="77777777" w:rsidR="007B1751" w:rsidRPr="006C1EB0" w:rsidRDefault="007B1751" w:rsidP="00E53A0E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56209146" w14:textId="77777777" w:rsidTr="00BB2D44">
        <w:trPr>
          <w:trHeight w:val="380"/>
        </w:trPr>
        <w:tc>
          <w:tcPr>
            <w:tcW w:w="2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FAAFFF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3E929E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8B8E1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D6E844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03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993F5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53CFEB7E" w14:textId="77777777" w:rsidTr="00E80EB3">
        <w:trPr>
          <w:trHeight w:val="380"/>
        </w:trPr>
        <w:tc>
          <w:tcPr>
            <w:tcW w:w="26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A721700" w14:textId="77777777" w:rsidR="007B1751" w:rsidRPr="006C1EB0" w:rsidRDefault="007B1751" w:rsidP="005007E7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6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5E93C68" w14:textId="77777777" w:rsidR="007B1751" w:rsidRPr="006C1EB0" w:rsidRDefault="007B1751" w:rsidP="009779FD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1FBF40B8" w14:textId="77777777" w:rsidR="007B1751" w:rsidRPr="006C1EB0" w:rsidRDefault="007B1751" w:rsidP="00001F83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4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7228BA5" w14:textId="77777777" w:rsidR="007B1751" w:rsidRPr="006C1EB0" w:rsidRDefault="007B1751" w:rsidP="00EB2952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035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353E047" w14:textId="77777777" w:rsidR="007B1751" w:rsidRPr="006C1EB0" w:rsidRDefault="007B1751" w:rsidP="00E80EB3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6E5C29A3" w14:textId="77777777" w:rsidTr="00BB2D44">
        <w:trPr>
          <w:trHeight w:val="380"/>
        </w:trPr>
        <w:tc>
          <w:tcPr>
            <w:tcW w:w="2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8A2999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6AB0D7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0F1548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B01139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03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9175AC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</w:p>
        </w:tc>
      </w:tr>
      <w:tr w:rsidR="007B1751" w:rsidRPr="006C1EB0" w14:paraId="26A4E1DE" w14:textId="77777777" w:rsidTr="00410EE9">
        <w:trPr>
          <w:trHeight w:val="380"/>
        </w:trPr>
        <w:tc>
          <w:tcPr>
            <w:tcW w:w="26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60B65078" w14:textId="77777777" w:rsidR="007B1751" w:rsidRPr="006C1EB0" w:rsidRDefault="007B1751" w:rsidP="000E2308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6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D39E7FB" w14:textId="77777777" w:rsidR="007B1751" w:rsidRPr="006C1EB0" w:rsidRDefault="007B1751" w:rsidP="00A836CC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8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1856099" w14:textId="77777777" w:rsidR="007B1751" w:rsidRPr="006C1EB0" w:rsidRDefault="007B1751" w:rsidP="00297C2F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1400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4D7B44F" w14:textId="77777777" w:rsidR="007B1751" w:rsidRPr="006C1EB0" w:rsidRDefault="007B1751" w:rsidP="00AD620D">
            <w:pPr>
              <w:rPr>
                <w:rFonts w:ascii="Century Gothic" w:hAnsi="Century Gothic"/>
                <w:color w:val="3B4D59"/>
              </w:rPr>
            </w:pPr>
          </w:p>
        </w:tc>
        <w:tc>
          <w:tcPr>
            <w:tcW w:w="2035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22D15A9" w14:textId="77777777" w:rsidR="007B1751" w:rsidRPr="006C1EB0" w:rsidRDefault="007B1751" w:rsidP="00410EE9">
            <w:pPr>
              <w:rPr>
                <w:rFonts w:ascii="Century Gothic" w:hAnsi="Century Gothic"/>
                <w:color w:val="3B4D59"/>
              </w:rPr>
            </w:pPr>
          </w:p>
        </w:tc>
      </w:tr>
    </w:tbl>
    <w:p w14:paraId="1E79C396" w14:textId="77777777" w:rsidR="007B1751" w:rsidRPr="006C1EB0" w:rsidRDefault="007B1751" w:rsidP="007B1751">
      <w:pPr>
        <w:spacing w:before="240"/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Risk assessment method:</w:t>
      </w:r>
      <w:r w:rsidRPr="006C1EB0">
        <w:rPr>
          <w:rFonts w:ascii="Century Gothic" w:hAnsi="Century Gothic"/>
        </w:rPr>
        <w:t xml:space="preserve"> FEMA's free Risk Assessment and Business Impact Analysis guides mirror this likelihood-times-impact process. </w:t>
      </w:r>
      <w:hyperlink r:id="rId21" w:history="1">
        <w:r w:rsidRPr="006C1EB0">
          <w:rPr>
            <w:rFonts w:ascii="Century Gothic" w:hAnsi="Century Gothic"/>
            <w:color w:val="852057"/>
            <w:u w:val="single"/>
          </w:rPr>
          <w:t>ready.gov/business/planning</w:t>
        </w:r>
      </w:hyperlink>
    </w:p>
    <w:p w14:paraId="40512556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Remediation tracker:</w:t>
      </w:r>
      <w:r w:rsidRPr="006C1EB0">
        <w:rPr>
          <w:rFonts w:ascii="Century Gothic" w:hAnsi="Century Gothic"/>
        </w:rPr>
        <w:t xml:space="preserve"> NIST's free CUI Plan of Action template, under SP 800-171 Rev. 2 at csrc.nist.gov. Do not substitute FedRAMP's, which is a different program.</w:t>
      </w:r>
    </w:p>
    <w:p w14:paraId="041237E7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CMMC note:</w:t>
      </w:r>
      <w:r w:rsidRPr="006C1EB0">
        <w:rPr>
          <w:rFonts w:ascii="Century Gothic" w:hAnsi="Century Gothic"/>
        </w:rPr>
        <w:t xml:space="preserve"> Plans of Action are tightly restricted. They are not allowed for Level 1. For Level 2, they are usable only above an 88 of 110 score, only on single-point findings, and must close within 180 days. Treat it as a narrow closeout, not a way to defer.</w:t>
      </w:r>
    </w:p>
    <w:p w14:paraId="49F73C5C" w14:textId="510AA980" w:rsidR="00AF36AF" w:rsidRPr="006C1EB0" w:rsidRDefault="00FD7FE7" w:rsidP="007B1751">
      <w:pPr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Step 3: Baseline, Prioritize, &amp; Remediate</w:t>
      </w:r>
    </w:p>
    <w:p w14:paraId="2CD36C0A" w14:textId="77777777" w:rsidR="007B1751" w:rsidRPr="006C1EB0" w:rsidRDefault="007B1751" w:rsidP="007B1751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6C1EB0">
        <w:rPr>
          <w:rFonts w:ascii="Century Gothic" w:hAnsi="Century Gothic"/>
        </w:rPr>
        <w:t>Fix the basics first: MFA, asset inventory, access control, and backup integrity. Every framework assumes these.</w:t>
      </w:r>
    </w:p>
    <w:p w14:paraId="45E49493" w14:textId="77777777" w:rsidR="007B1751" w:rsidRPr="006C1EB0" w:rsidRDefault="007B1751" w:rsidP="007B1751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6C1EB0">
        <w:rPr>
          <w:rFonts w:ascii="Century Gothic" w:hAnsi="Century Gothic"/>
        </w:rPr>
        <w:t>Prioritize the rest by risk and effort, not by whichever finding is loudest.</w:t>
      </w:r>
    </w:p>
    <w:p w14:paraId="6D24962E" w14:textId="77777777" w:rsidR="007B1751" w:rsidRPr="006C1EB0" w:rsidRDefault="007B1751" w:rsidP="007B1751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6C1EB0">
        <w:rPr>
          <w:rFonts w:ascii="Century Gothic" w:hAnsi="Century Gothic"/>
        </w:rPr>
        <w:t>Put each closed gap on a review cadence right away. Do not remediate first and govern later.</w:t>
      </w:r>
    </w:p>
    <w:p w14:paraId="2FA24731" w14:textId="21321711" w:rsidR="00AF36AF" w:rsidRPr="006C1EB0" w:rsidRDefault="00FD7FE7" w:rsidP="007B1751">
      <w:pPr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Step 4: Document &amp; Implement</w:t>
      </w:r>
    </w:p>
    <w:p w14:paraId="7F91EC9A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 xml:space="preserve">Governance sets who decides. Policy states the rule. Procedure </w:t>
      </w:r>
      <w:proofErr w:type="gramStart"/>
      <w:r w:rsidRPr="006C1EB0">
        <w:rPr>
          <w:rFonts w:ascii="Century Gothic" w:hAnsi="Century Gothic"/>
        </w:rPr>
        <w:t>documents</w:t>
      </w:r>
      <w:proofErr w:type="gramEnd"/>
      <w:r w:rsidRPr="006C1EB0">
        <w:rPr>
          <w:rFonts w:ascii="Century Gothic" w:hAnsi="Century Gothic"/>
        </w:rPr>
        <w:t xml:space="preserve"> how you meet it. Process is what your team </w:t>
      </w:r>
      <w:proofErr w:type="gramStart"/>
      <w:r w:rsidRPr="006C1EB0">
        <w:rPr>
          <w:rFonts w:ascii="Century Gothic" w:hAnsi="Century Gothic"/>
        </w:rPr>
        <w:t>actually does</w:t>
      </w:r>
      <w:proofErr w:type="gramEnd"/>
      <w:r w:rsidRPr="006C1EB0">
        <w:rPr>
          <w:rFonts w:ascii="Century Gothic" w:hAnsi="Century Gothic"/>
        </w:rPr>
        <w:t>. Skip a layer and the one below it collapses.</w:t>
      </w:r>
    </w:p>
    <w:p w14:paraId="1C2ECCEE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  <w:b/>
          <w:bCs/>
        </w:rPr>
        <w:t>Starting point:</w:t>
      </w:r>
      <w:r w:rsidRPr="006C1EB0">
        <w:rPr>
          <w:rFonts w:ascii="Century Gothic" w:hAnsi="Century Gothic"/>
        </w:rPr>
        <w:t xml:space="preserve"> CRF Safeguards, a control library mapped across 90+ standards, with ready-to-use policy templates. Free Core and Small Business editions. </w:t>
      </w:r>
      <w:hyperlink r:id="rId22" w:history="1">
        <w:r w:rsidRPr="006C1EB0">
          <w:rPr>
            <w:rFonts w:ascii="Century Gothic" w:hAnsi="Century Gothic"/>
            <w:color w:val="852057"/>
            <w:u w:val="single"/>
          </w:rPr>
          <w:t>crfsecure.org/research/</w:t>
        </w:r>
        <w:proofErr w:type="spellStart"/>
        <w:r w:rsidRPr="006C1EB0">
          <w:rPr>
            <w:rFonts w:ascii="Century Gothic" w:hAnsi="Century Gothic"/>
            <w:color w:val="852057"/>
            <w:u w:val="single"/>
          </w:rPr>
          <w:t>crf</w:t>
        </w:r>
        <w:proofErr w:type="spellEnd"/>
        <w:r w:rsidRPr="006C1EB0">
          <w:rPr>
            <w:rFonts w:ascii="Century Gothic" w:hAnsi="Century Gothic"/>
            <w:color w:val="852057"/>
            <w:u w:val="single"/>
          </w:rPr>
          <w:t>-safeguards</w:t>
        </w:r>
      </w:hyperlink>
    </w:p>
    <w:p w14:paraId="4A78790A" w14:textId="0ED84B7C" w:rsidR="00AF36AF" w:rsidRPr="006C1EB0" w:rsidRDefault="00FD7FE7" w:rsidP="007B1751">
      <w:pPr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Step 5:   Audit or Certification (optional)</w:t>
      </w:r>
    </w:p>
    <w:p w14:paraId="0AC83F6A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 xml:space="preserve">Only pursue formal certification if a contract or customer </w:t>
      </w:r>
      <w:proofErr w:type="gramStart"/>
      <w:r w:rsidRPr="006C1EB0">
        <w:rPr>
          <w:rFonts w:ascii="Century Gothic" w:hAnsi="Century Gothic"/>
        </w:rPr>
        <w:t>actually requires</w:t>
      </w:r>
      <w:proofErr w:type="gramEnd"/>
      <w:r w:rsidRPr="006C1EB0">
        <w:rPr>
          <w:rFonts w:ascii="Century Gothic" w:hAnsi="Century Gothic"/>
        </w:rPr>
        <w:t xml:space="preserve"> third-party validation, not because the framework offers one. Expect a readiness review before the formal </w:t>
      </w:r>
      <w:proofErr w:type="gramStart"/>
      <w:r w:rsidRPr="006C1EB0">
        <w:rPr>
          <w:rFonts w:ascii="Century Gothic" w:hAnsi="Century Gothic"/>
        </w:rPr>
        <w:t>assessment, and</w:t>
      </w:r>
      <w:proofErr w:type="gramEnd"/>
      <w:r w:rsidRPr="006C1EB0">
        <w:rPr>
          <w:rFonts w:ascii="Century Gothic" w:hAnsi="Century Gothic"/>
        </w:rPr>
        <w:t xml:space="preserve"> remediate findings before the certificate is issued.</w:t>
      </w:r>
    </w:p>
    <w:p w14:paraId="3F3583A0" w14:textId="7AFA9227" w:rsidR="00AF36AF" w:rsidRPr="006C1EB0" w:rsidRDefault="00FD7FE7" w:rsidP="007B1751">
      <w:pPr>
        <w:rPr>
          <w:rStyle w:val="IntenseReference"/>
          <w:rFonts w:ascii="Century Gothic" w:hAnsi="Century Gothic"/>
        </w:rPr>
      </w:pPr>
      <w:r w:rsidRPr="006C1EB0">
        <w:rPr>
          <w:rStyle w:val="IntenseReference"/>
          <w:rFonts w:ascii="Century Gothic" w:hAnsi="Century Gothic"/>
          <w:color w:val="852057"/>
        </w:rPr>
        <w:t>Step 6:   Maintain and Cross-Walk</w:t>
      </w:r>
    </w:p>
    <w:p w14:paraId="03075ADC" w14:textId="77777777" w:rsidR="007B1751" w:rsidRPr="006C1EB0" w:rsidRDefault="007B1751" w:rsidP="007B1751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>Compliance is not a project with an end date. Keep the governance cadence running permanently: review on schedule and keep ownership current. Because your program is built on one framework's structure, mapping to whatever comes next becomes translation, not a rebuild.</w:t>
      </w:r>
    </w:p>
    <w:p w14:paraId="2DEA7D29" w14:textId="77777777" w:rsidR="006A1BD9" w:rsidRPr="006C1EB0" w:rsidRDefault="006A1BD9" w:rsidP="007B1751">
      <w:pPr>
        <w:rPr>
          <w:rStyle w:val="IntenseEmphasis"/>
          <w:rFonts w:ascii="Century Gothic" w:hAnsi="Century Gothic"/>
          <w:b/>
          <w:color w:val="852057"/>
        </w:rPr>
      </w:pPr>
    </w:p>
    <w:p w14:paraId="311449E0" w14:textId="77777777" w:rsidR="006A1BD9" w:rsidRPr="006C1EB0" w:rsidRDefault="006A1BD9" w:rsidP="007B1751">
      <w:pPr>
        <w:rPr>
          <w:rStyle w:val="IntenseEmphasis"/>
          <w:rFonts w:ascii="Century Gothic" w:hAnsi="Century Gothic"/>
          <w:b/>
          <w:color w:val="852057"/>
        </w:rPr>
      </w:pPr>
    </w:p>
    <w:p w14:paraId="4C355335" w14:textId="17D06736" w:rsidR="00AF36AF" w:rsidRPr="006C1EB0" w:rsidRDefault="00FD7FE7" w:rsidP="007B1751">
      <w:pPr>
        <w:rPr>
          <w:rStyle w:val="IntenseEmphasis"/>
          <w:rFonts w:ascii="Century Gothic" w:hAnsi="Century Gothic"/>
          <w:b/>
          <w:bCs/>
        </w:rPr>
      </w:pPr>
      <w:r w:rsidRPr="006C1EB0">
        <w:rPr>
          <w:rStyle w:val="IntenseEmphasis"/>
          <w:rFonts w:ascii="Century Gothic" w:hAnsi="Century Gothic"/>
          <w:b/>
          <w:color w:val="852057"/>
        </w:rPr>
        <w:lastRenderedPageBreak/>
        <w:t xml:space="preserve">How Each Step Adapts </w:t>
      </w:r>
      <w:proofErr w:type="gramStart"/>
      <w:r w:rsidRPr="006C1EB0">
        <w:rPr>
          <w:rStyle w:val="IntenseEmphasis"/>
          <w:rFonts w:ascii="Century Gothic" w:hAnsi="Century Gothic"/>
          <w:b/>
          <w:color w:val="852057"/>
        </w:rPr>
        <w:t>To</w:t>
      </w:r>
      <w:proofErr w:type="gramEnd"/>
      <w:r w:rsidRPr="006C1EB0">
        <w:rPr>
          <w:rStyle w:val="IntenseEmphasis"/>
          <w:rFonts w:ascii="Century Gothic" w:hAnsi="Century Gothic"/>
          <w:b/>
          <w:color w:val="852057"/>
        </w:rPr>
        <w:t xml:space="preserve"> Your Framework</w:t>
      </w:r>
    </w:p>
    <w:tbl>
      <w:tblPr>
        <w:tblW w:w="10224" w:type="dxa"/>
        <w:tblInd w:w="-5" w:type="dxa"/>
        <w:tblBorders>
          <w:top w:val="single" w:sz="4" w:space="0" w:color="DFE5E3"/>
          <w:left w:val="single" w:sz="4" w:space="0" w:color="DFE5E3"/>
          <w:bottom w:val="single" w:sz="4" w:space="0" w:color="DFE5E3"/>
          <w:right w:val="single" w:sz="4" w:space="0" w:color="DFE5E3"/>
          <w:insideH w:val="single" w:sz="4" w:space="0" w:color="DFE5E3"/>
          <w:insideV w:val="single" w:sz="4" w:space="0" w:color="DFE5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2"/>
        <w:gridCol w:w="2365"/>
        <w:gridCol w:w="2521"/>
        <w:gridCol w:w="3006"/>
      </w:tblGrid>
      <w:tr w:rsidR="007B1751" w:rsidRPr="006C1EB0" w14:paraId="7ADEF768" w14:textId="77777777" w:rsidTr="00742850">
        <w:tc>
          <w:tcPr>
            <w:tcW w:w="2332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4C5F551" w14:textId="665842AB" w:rsidR="007B1751" w:rsidRPr="006C1EB0" w:rsidRDefault="008D02AF" w:rsidP="008D02AF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Framework</w:t>
            </w:r>
          </w:p>
        </w:tc>
        <w:tc>
          <w:tcPr>
            <w:tcW w:w="2365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96105D6" w14:textId="5EE0E7B3" w:rsidR="007B1751" w:rsidRPr="006C1EB0" w:rsidRDefault="0046651A" w:rsidP="0046651A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Scope</w:t>
            </w:r>
          </w:p>
        </w:tc>
        <w:tc>
          <w:tcPr>
            <w:tcW w:w="2521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A299B51" w14:textId="62894F44" w:rsidR="007B1751" w:rsidRPr="006C1EB0" w:rsidRDefault="00A33320" w:rsidP="00A33320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Gap analysis maps to</w:t>
            </w:r>
          </w:p>
        </w:tc>
        <w:tc>
          <w:tcPr>
            <w:tcW w:w="3006" w:type="dxa"/>
            <w:tcBorders>
              <w:top w:val="single" w:sz="4" w:space="0" w:color="852057"/>
              <w:left w:val="nil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9382B38" w14:textId="1C9C7938" w:rsidR="007B1751" w:rsidRPr="006C1EB0" w:rsidRDefault="00742850" w:rsidP="00742850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6C1EB0">
              <w:rPr>
                <w:rFonts w:ascii="Century Gothic" w:hAnsi="Century Gothic"/>
                <w:b/>
                <w:bCs/>
                <w:color w:val="FFFFFF" w:themeColor="background1"/>
              </w:rPr>
              <w:t>Who signs off</w:t>
            </w:r>
          </w:p>
        </w:tc>
      </w:tr>
      <w:tr w:rsidR="007B1751" w:rsidRPr="006C1EB0" w14:paraId="12CBDE58" w14:textId="77777777" w:rsidTr="00397C65">
        <w:tc>
          <w:tcPr>
            <w:tcW w:w="233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6C6388E" w14:textId="6A69C76B" w:rsidR="007B1751" w:rsidRPr="006C1EB0" w:rsidRDefault="00482C9C" w:rsidP="00482C9C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3B4D59"/>
              </w:rPr>
              <w:t>ISO 27001</w:t>
            </w:r>
          </w:p>
        </w:tc>
        <w:tc>
          <w:tcPr>
            <w:tcW w:w="2365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0D748F75" w14:textId="646EDFD0" w:rsidR="007B1751" w:rsidRPr="006C1EB0" w:rsidRDefault="007D24E1" w:rsidP="007D24E1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Broad: any confidential business info.</w:t>
            </w:r>
          </w:p>
        </w:tc>
        <w:tc>
          <w:tcPr>
            <w:tcW w:w="2521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BB0363F" w14:textId="6901166B" w:rsidR="007B1751" w:rsidRPr="006C1EB0" w:rsidRDefault="000F1BD8" w:rsidP="000F1BD8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93 Annex A controls.</w:t>
            </w:r>
          </w:p>
        </w:tc>
        <w:tc>
          <w:tcPr>
            <w:tcW w:w="300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21DF850" w14:textId="70659B80" w:rsidR="007B1751" w:rsidRPr="006C1EB0" w:rsidRDefault="00397C65" w:rsidP="00397C65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Executive management, annually.</w:t>
            </w:r>
          </w:p>
        </w:tc>
      </w:tr>
      <w:tr w:rsidR="007B1751" w:rsidRPr="006C1EB0" w14:paraId="0F54028A" w14:textId="77777777" w:rsidTr="00BB2D44">
        <w:tc>
          <w:tcPr>
            <w:tcW w:w="233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1DA22C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3B4D59"/>
              </w:rPr>
              <w:t>SOC 2</w:t>
            </w:r>
          </w:p>
        </w:tc>
        <w:tc>
          <w:tcPr>
            <w:tcW w:w="236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E34169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Trust Services Criteria, typically PII and financial data.</w:t>
            </w:r>
          </w:p>
        </w:tc>
        <w:tc>
          <w:tcPr>
            <w:tcW w:w="2521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51214C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5 criteria categories.</w:t>
            </w:r>
          </w:p>
        </w:tc>
        <w:tc>
          <w:tcPr>
            <w:tcW w:w="300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775DBD" w14:textId="77777777" w:rsidR="007B1751" w:rsidRPr="006C1EB0" w:rsidRDefault="007B1751" w:rsidP="00BB2D44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Management assertion, CPA-tested.</w:t>
            </w:r>
          </w:p>
        </w:tc>
      </w:tr>
      <w:tr w:rsidR="007B1751" w:rsidRPr="006C1EB0" w14:paraId="48E775F7" w14:textId="77777777" w:rsidTr="00F40D93">
        <w:tc>
          <w:tcPr>
            <w:tcW w:w="2332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4F22AAC" w14:textId="7611C185" w:rsidR="007B1751" w:rsidRPr="006C1EB0" w:rsidRDefault="00CB37B5" w:rsidP="00CB37B5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3B4D59"/>
              </w:rPr>
              <w:t>CMMC</w:t>
            </w:r>
          </w:p>
        </w:tc>
        <w:tc>
          <w:tcPr>
            <w:tcW w:w="2365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95BC759" w14:textId="107A6885" w:rsidR="007B1751" w:rsidRPr="006C1EB0" w:rsidRDefault="00132E4E" w:rsidP="00132E4E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Narrowest: defined by where CUI lives.</w:t>
            </w:r>
          </w:p>
        </w:tc>
        <w:tc>
          <w:tcPr>
            <w:tcW w:w="2521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0FB8A61" w14:textId="6C57501B" w:rsidR="007B1751" w:rsidRPr="006C1EB0" w:rsidRDefault="005D0DFE" w:rsidP="005D0DFE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110 NIST 800-171 practices.</w:t>
            </w:r>
          </w:p>
        </w:tc>
        <w:tc>
          <w:tcPr>
            <w:tcW w:w="3006" w:type="dxa"/>
            <w:shd w:val="clear" w:color="auto" w:fill="F4DCE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CF89E8D" w14:textId="3BE39D5C" w:rsidR="007B1751" w:rsidRPr="006C1EB0" w:rsidRDefault="00F40D93" w:rsidP="00F40D93">
            <w:pPr>
              <w:rPr>
                <w:rFonts w:ascii="Century Gothic" w:hAnsi="Century Gothic"/>
                <w:color w:val="3B4D59"/>
              </w:rPr>
            </w:pPr>
            <w:r w:rsidRPr="006C1EB0">
              <w:rPr>
                <w:rFonts w:ascii="Century Gothic" w:hAnsi="Century Gothic"/>
                <w:color w:val="55666C"/>
              </w:rPr>
              <w:t>Named Senior Coordinating Official.</w:t>
            </w:r>
          </w:p>
        </w:tc>
      </w:tr>
    </w:tbl>
    <w:p w14:paraId="175DC96F" w14:textId="350A029B" w:rsidR="00A27CD6" w:rsidRPr="006C1EB0" w:rsidRDefault="00A27CD6" w:rsidP="007F7FA9">
      <w:pPr>
        <w:rPr>
          <w:rFonts w:ascii="Century Gothic" w:hAnsi="Century Gothic"/>
          <w:color w:val="3B4D59"/>
        </w:rPr>
      </w:pPr>
      <w:r w:rsidRPr="5EE80EEC">
        <w:rPr>
          <w:rFonts w:ascii="Century Gothic" w:hAnsi="Century Gothic"/>
          <w:color w:val="3B4D59"/>
        </w:rPr>
        <w:br w:type="page"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5C67FCEB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78654862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16EFFF6E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3CCE3F93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27AE6F4B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42BEB23B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2953FEC0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1B9A22F5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27748E47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683BFA89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0FCC73EA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3ABC462A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1EBC4680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0E06EBFA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630AB3D0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3CF1F439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66CCAACB" w14:textId="77777777" w:rsidR="00A27CD6" w:rsidRPr="006C1EB0" w:rsidRDefault="00A27CD6" w:rsidP="007F7FA9">
      <w:pPr>
        <w:rPr>
          <w:rFonts w:ascii="Century Gothic" w:hAnsi="Century Gothic"/>
          <w:color w:val="3B4D59"/>
        </w:rPr>
      </w:pPr>
    </w:p>
    <w:p w14:paraId="25232813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390C80F7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65AF7A9E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510C3EFD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77395687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7CA177E8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6BC88311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224ACD9C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6C8FCD16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30F6F579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1CC9A30E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3669DD60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3F48BCAD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5F6388CD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49D6245B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4FE6D97C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328E1FB0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094B7C20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1494B06E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09E10C09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5E4453F5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3B635528" w14:textId="77777777" w:rsidR="009F6B00" w:rsidRDefault="009F6B00" w:rsidP="00842085">
      <w:pPr>
        <w:rPr>
          <w:rFonts w:ascii="Century Gothic" w:hAnsi="Century Gothic"/>
          <w:b/>
          <w:bCs/>
          <w:color w:val="852057"/>
        </w:rPr>
      </w:pPr>
    </w:p>
    <w:p w14:paraId="77C15AC0" w14:textId="6CC6AEE1" w:rsidR="00A743DE" w:rsidRPr="006C1EB0" w:rsidRDefault="00842085" w:rsidP="00842085">
      <w:pPr>
        <w:rPr>
          <w:rFonts w:ascii="Century Gothic" w:hAnsi="Century Gothic"/>
          <w:b/>
          <w:bCs/>
          <w:color w:val="852057"/>
        </w:rPr>
      </w:pPr>
      <w:r w:rsidRPr="006C1EB0">
        <w:rPr>
          <w:rFonts w:ascii="Century Gothic" w:hAnsi="Century Gothic"/>
          <w:b/>
          <w:bCs/>
          <w:color w:val="852057"/>
        </w:rPr>
        <w:t>About the Contributing Author</w:t>
      </w:r>
    </w:p>
    <w:p w14:paraId="17B61057" w14:textId="0D25D170" w:rsidR="00842085" w:rsidRPr="006C1EB0" w:rsidRDefault="00A743DE" w:rsidP="00367053">
      <w:pPr>
        <w:spacing w:after="0"/>
        <w:rPr>
          <w:rFonts w:ascii="Century Gothic" w:hAnsi="Century Gothic"/>
          <w:color w:val="3B4D59"/>
        </w:rPr>
      </w:pPr>
      <w:r w:rsidRPr="006C1EB0">
        <w:rPr>
          <w:rFonts w:ascii="Century Gothic" w:hAnsi="Century Gothic"/>
        </w:rPr>
        <w:t>Contributed by</w:t>
      </w:r>
      <w:r w:rsidRPr="006C1EB0">
        <w:rPr>
          <w:rFonts w:ascii="Century Gothic" w:hAnsi="Century Gothic"/>
          <w:b/>
          <w:bCs/>
        </w:rPr>
        <w:t xml:space="preserve"> </w:t>
      </w:r>
      <w:hyperlink r:id="rId23" w:history="1">
        <w:r w:rsidRPr="009F6B00">
          <w:rPr>
            <w:rStyle w:val="Hyperlink"/>
            <w:rFonts w:ascii="Century Gothic" w:hAnsi="Century Gothic"/>
            <w:color w:val="852057"/>
          </w:rPr>
          <w:t>Alex Spigel</w:t>
        </w:r>
      </w:hyperlink>
      <w:r w:rsidRPr="006C1EB0">
        <w:rPr>
          <w:rStyle w:val="SubtleEmphasis"/>
          <w:rFonts w:ascii="Century Gothic" w:hAnsi="Century Gothic"/>
        </w:rPr>
        <w:t xml:space="preserve">, </w:t>
      </w:r>
      <w:r w:rsidRPr="00965E64">
        <w:rPr>
          <w:rFonts w:ascii="Century Gothic" w:hAnsi="Century Gothic"/>
        </w:rPr>
        <w:t>Chief Executive Officer, Choice Cyber Solutions</w:t>
      </w:r>
      <w:r w:rsidR="00842085" w:rsidRPr="00965E64">
        <w:rPr>
          <w:rFonts w:ascii="Century Gothic" w:hAnsi="Century Gothic"/>
        </w:rPr>
        <w:t xml:space="preserve"> </w:t>
      </w:r>
      <w:r w:rsidR="00367053" w:rsidRPr="006C1EB0">
        <w:rPr>
          <w:rFonts w:ascii="Century Gothic" w:hAnsi="Century Gothic"/>
        </w:rPr>
        <w:t>for</w:t>
      </w:r>
      <w:r w:rsidR="00842085" w:rsidRPr="006C1EB0">
        <w:rPr>
          <w:rFonts w:ascii="Century Gothic" w:hAnsi="Century Gothic"/>
        </w:rPr>
        <w:t xml:space="preserve"> Logically’s cybersecurity summit, LogicON. </w:t>
      </w:r>
    </w:p>
    <w:p w14:paraId="5ADC0CA0" w14:textId="245BA689" w:rsidR="007F7FA9" w:rsidRPr="006C1EB0" w:rsidRDefault="0083176A" w:rsidP="007F7FA9">
      <w:pPr>
        <w:rPr>
          <w:rFonts w:ascii="Century Gothic" w:hAnsi="Century Gothic"/>
          <w:b/>
          <w:bCs/>
          <w:color w:val="852057"/>
        </w:rPr>
      </w:pPr>
      <w:r w:rsidRPr="006C1EB0">
        <w:rPr>
          <w:rFonts w:ascii="Century Gothic" w:hAnsi="Century Gothic"/>
          <w:b/>
          <w:bCs/>
          <w:color w:val="3B4D59"/>
        </w:rPr>
        <w:br/>
      </w:r>
      <w:r w:rsidR="009D12C2" w:rsidRPr="006C1EB0">
        <w:rPr>
          <w:rFonts w:ascii="Century Gothic" w:hAnsi="Century Gothic"/>
          <w:b/>
          <w:bCs/>
          <w:color w:val="852057"/>
        </w:rPr>
        <w:t>About Logically</w:t>
      </w:r>
    </w:p>
    <w:p w14:paraId="0905A646" w14:textId="28339739" w:rsidR="007F7FA9" w:rsidRPr="006C1EB0" w:rsidRDefault="007F7FA9" w:rsidP="007F7FA9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6BB0C0F6" w14:textId="092A1084" w:rsidR="009D12C2" w:rsidRPr="006C1EB0" w:rsidRDefault="007F7FA9">
      <w:pPr>
        <w:rPr>
          <w:rFonts w:ascii="Century Gothic" w:hAnsi="Century Gothic"/>
        </w:rPr>
      </w:pPr>
      <w:r w:rsidRPr="006C1EB0">
        <w:rPr>
          <w:rFonts w:ascii="Century Gothic" w:hAnsi="Century Gothic"/>
        </w:rPr>
        <w:t xml:space="preserve">Visit </w:t>
      </w:r>
      <w:hyperlink r:id="rId24" w:history="1">
        <w:r w:rsidRPr="006C1EB0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6C1EB0">
        <w:rPr>
          <w:rFonts w:ascii="Century Gothic" w:hAnsi="Century Gothic"/>
        </w:rPr>
        <w:t xml:space="preserve"> to learn more.</w:t>
      </w:r>
    </w:p>
    <w:sectPr w:rsidR="009D12C2" w:rsidRPr="006C1EB0" w:rsidSect="007B1751">
      <w:headerReference w:type="default" r:id="rId25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6058B" w14:textId="77777777" w:rsidR="006D662D" w:rsidRDefault="006D662D" w:rsidP="007B1751">
      <w:pPr>
        <w:spacing w:after="0" w:line="240" w:lineRule="auto"/>
      </w:pPr>
      <w:r>
        <w:separator/>
      </w:r>
    </w:p>
  </w:endnote>
  <w:endnote w:type="continuationSeparator" w:id="0">
    <w:p w14:paraId="1314706B" w14:textId="77777777" w:rsidR="006D662D" w:rsidRDefault="006D662D" w:rsidP="007B1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F05B5" w14:textId="77777777" w:rsidR="006D662D" w:rsidRDefault="006D662D" w:rsidP="007B1751">
      <w:pPr>
        <w:spacing w:after="0" w:line="240" w:lineRule="auto"/>
      </w:pPr>
      <w:r>
        <w:separator/>
      </w:r>
    </w:p>
  </w:footnote>
  <w:footnote w:type="continuationSeparator" w:id="0">
    <w:p w14:paraId="21536ABE" w14:textId="77777777" w:rsidR="006D662D" w:rsidRDefault="006D662D" w:rsidP="007B1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87472" w14:textId="7EC4C874" w:rsidR="007B1751" w:rsidRDefault="004C709B" w:rsidP="007B1751">
    <w:pPr>
      <w:pStyle w:val="Header"/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833B07" wp14:editId="23B46C4F">
              <wp:simplePos x="0" y="0"/>
              <wp:positionH relativeFrom="column">
                <wp:posOffset>-450715</wp:posOffset>
              </wp:positionH>
              <wp:positionV relativeFrom="paragraph">
                <wp:posOffset>-450715</wp:posOffset>
              </wp:positionV>
              <wp:extent cx="7749702" cy="335915"/>
              <wp:effectExtent l="0" t="0" r="3810" b="6985"/>
              <wp:wrapNone/>
              <wp:docPr id="1654354850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9702" cy="335915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vertOverflow="overflow" horzOverflow="overflow" vert="horz" wrap="square" lIns="91440" tIns="45720" rIns="91440" bIns="45720" numCol="1" spcCol="0" anchor="ctr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89AB6C3" id="Rectangle 7" o:spid="_x0000_s1026" style="position:absolute;margin-left:-35.5pt;margin-top:-35.5pt;width:610.2pt;height:26.4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2pxWQIAABUFAAAOAAAAZHJzL2Uyb0RvYy54bWysVMFu2zAMvQ/YPwi6L3bSZGmDOMXQosOA&#10;oi2WDjsrshQbkEWNUuJkXz9KdpyuK3YYloMiiY+P5BPp5fWhMWyv0NdgCz4e5ZwpK6Gs7bbg357v&#10;Plxy5oOwpTBgVcGPyvPr1ft3y9Yt1AQqMKVCRiTWL1pX8CoEt8gyLyvVCD8CpywZNWAjAh1xm5Uo&#10;WmJvTDbJ849ZC1g6BKm8p9vbzshXiV9rJcOj1l4FZgpOuYW0Ylo3cc1WS7HYonBVLfs0xD9k0Yja&#10;UtCB6lYEwXZY/0HV1BLBgw4jCU0GWtdSpRqomnH+qpp1JZxKtZA43g0y+f9HKx/2a/eEJEPr/MLT&#10;NlZx0NjEf8qPHZJYx0EsdQhM0uV8Pr2a5xPOJNkuLmZX41lUMzt7O/Ths4KGxU3BkR4jaST29z50&#10;0BMkBvNg6vKuNiYdcLu5Mcj2gh7ucjbJZ/Oe/TeYsRFsIbp1jPEmO9eSduFoVMQZ+1VpVpeU/SRl&#10;ktpMDXGElMqGcWeqRKm68LOcfqfosTGjR6o0EUZmTfEH7p7ghOxITtxdlj0+uqrUpYNz/rfEOufB&#10;I0UGGwbnpraAbxEYqqqP3OFPInXSRJU2UB6fkCF0M0IzHR5p0QbagkO/46wC/PnWfcRTW5KVs5bm&#10;qeD+x06g4sx8sdSwV+PpNA5gOkxn8wkd8KVl89Jid80N0MuP6evhZNoSXlhJAQouA1LbQeNEuLdr&#10;JyMuahG76fnwXaDrWy5Qsz7AaYzE4lXnddjoaeHTLoCuU1ue1ehVotlLz91/J+Jwvzwn1PlrtvoF&#10;AAD//wMAUEsDBBQABgAIAAAAIQDwSXu63gAAAAwBAAAPAAAAZHJzL2Rvd25yZXYueG1sTI9LT8Mw&#10;EITvSP0P1lbi1jpGFZQQp0K8DnBqCxJHN948hL2O4m0b+PW4B0Rvuzuj2W+K1eidOOAQu0Aa1DwD&#10;gVQF21Gj4X37PFuCiGzIGhcINXxjhFU5uShMbsOR1njYcCNSCMXcaGiZ+1zKWLXoTZyHHilpdRi8&#10;4bQOjbSDOaZw7+RVll1LbzpKH1rT40OL1ddm7zU8+fXPy+NH1qGvqB75tX5zn1Lry+l4fweCceR/&#10;M5zwEzqUiWkX9mSjcBpmNyp14b/h5FCL2wWIXTqppQJZFvK8RPkLAAD//wMAUEsBAi0AFAAGAAgA&#10;AAAhALaDOJL+AAAA4QEAABMAAAAAAAAAAAAAAAAAAAAAAFtDb250ZW50X1R5cGVzXS54bWxQSwEC&#10;LQAUAAYACAAAACEAOP0h/9YAAACUAQAACwAAAAAAAAAAAAAAAAAvAQAAX3JlbHMvLnJlbHNQSwEC&#10;LQAUAAYACAAAACEABPtqcVkCAAAVBQAADgAAAAAAAAAAAAAAAAAuAgAAZHJzL2Uyb0RvYy54bWxQ&#10;SwECLQAUAAYACAAAACEA8El7ut4AAAAMAQAADwAAAAAAAAAAAAAAAACzBAAAZHJzL2Rvd25yZXYu&#10;eG1sUEsFBgAAAAAEAAQA8wAAAL4FAAAAAA==&#10;" fillcolor="#852057" stroked="f" strokeweight="1.5pt"/>
          </w:pict>
        </mc:Fallback>
      </mc:AlternateContent>
    </w:r>
    <w:r w:rsidR="007B1751">
      <w:rPr>
        <w:noProof/>
      </w:rPr>
      <w:drawing>
        <wp:anchor distT="0" distB="0" distL="114300" distR="114300" simplePos="0" relativeHeight="251658240" behindDoc="0" locked="0" layoutInCell="1" allowOverlap="1" wp14:anchorId="16E4CC15" wp14:editId="331DB5B7">
          <wp:simplePos x="0" y="0"/>
          <wp:positionH relativeFrom="column">
            <wp:posOffset>5384165</wp:posOffset>
          </wp:positionH>
          <wp:positionV relativeFrom="paragraph">
            <wp:posOffset>20320</wp:posOffset>
          </wp:positionV>
          <wp:extent cx="1480820" cy="310515"/>
          <wp:effectExtent l="0" t="0" r="0" b="0"/>
          <wp:wrapThrough wrapText="bothSides">
            <wp:wrapPolygon edited="0">
              <wp:start x="278" y="0"/>
              <wp:lineTo x="278" y="15902"/>
              <wp:lineTo x="1111" y="17227"/>
              <wp:lineTo x="15005" y="19877"/>
              <wp:lineTo x="20840" y="19877"/>
              <wp:lineTo x="20840" y="0"/>
              <wp:lineTo x="278" y="0"/>
            </wp:wrapPolygon>
          </wp:wrapThrough>
          <wp:docPr id="1163106562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31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665E"/>
    <w:multiLevelType w:val="multilevel"/>
    <w:tmpl w:val="13B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16A4F"/>
    <w:multiLevelType w:val="multilevel"/>
    <w:tmpl w:val="7AC449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2" w15:restartNumberingAfterBreak="0">
    <w:nsid w:val="2CA85743"/>
    <w:multiLevelType w:val="multilevel"/>
    <w:tmpl w:val="13B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C1262"/>
    <w:multiLevelType w:val="multilevel"/>
    <w:tmpl w:val="13B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10684F"/>
    <w:multiLevelType w:val="multilevel"/>
    <w:tmpl w:val="13B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818731">
    <w:abstractNumId w:val="2"/>
  </w:num>
  <w:num w:numId="2" w16cid:durableId="1404721895">
    <w:abstractNumId w:val="0"/>
  </w:num>
  <w:num w:numId="3" w16cid:durableId="1368676931">
    <w:abstractNumId w:val="4"/>
  </w:num>
  <w:num w:numId="4" w16cid:durableId="113913123">
    <w:abstractNumId w:val="3"/>
  </w:num>
  <w:num w:numId="5" w16cid:durableId="1964261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51"/>
    <w:rsid w:val="00001F83"/>
    <w:rsid w:val="000152FE"/>
    <w:rsid w:val="0003414D"/>
    <w:rsid w:val="00040D73"/>
    <w:rsid w:val="00045841"/>
    <w:rsid w:val="00051FB0"/>
    <w:rsid w:val="0007770D"/>
    <w:rsid w:val="000916A9"/>
    <w:rsid w:val="000B0193"/>
    <w:rsid w:val="000B355F"/>
    <w:rsid w:val="000B65ED"/>
    <w:rsid w:val="000E1580"/>
    <w:rsid w:val="000E2308"/>
    <w:rsid w:val="000F1BD8"/>
    <w:rsid w:val="00113544"/>
    <w:rsid w:val="00115A36"/>
    <w:rsid w:val="00115B72"/>
    <w:rsid w:val="0012057F"/>
    <w:rsid w:val="00132E4E"/>
    <w:rsid w:val="00136E13"/>
    <w:rsid w:val="001528B0"/>
    <w:rsid w:val="00152C2F"/>
    <w:rsid w:val="00162EE8"/>
    <w:rsid w:val="00164753"/>
    <w:rsid w:val="00170B38"/>
    <w:rsid w:val="0017120E"/>
    <w:rsid w:val="00172C8E"/>
    <w:rsid w:val="001A62E9"/>
    <w:rsid w:val="001A69B4"/>
    <w:rsid w:val="001B3CC7"/>
    <w:rsid w:val="001C6EAC"/>
    <w:rsid w:val="001C737F"/>
    <w:rsid w:val="001F5025"/>
    <w:rsid w:val="00202337"/>
    <w:rsid w:val="00210900"/>
    <w:rsid w:val="00214402"/>
    <w:rsid w:val="002262CF"/>
    <w:rsid w:val="00243879"/>
    <w:rsid w:val="002520DE"/>
    <w:rsid w:val="002532AD"/>
    <w:rsid w:val="002533D7"/>
    <w:rsid w:val="00260472"/>
    <w:rsid w:val="0029607A"/>
    <w:rsid w:val="00297984"/>
    <w:rsid w:val="00297C2F"/>
    <w:rsid w:val="002A3114"/>
    <w:rsid w:val="002A6C2B"/>
    <w:rsid w:val="002B3265"/>
    <w:rsid w:val="002B6C6C"/>
    <w:rsid w:val="002E6BA5"/>
    <w:rsid w:val="002F69CC"/>
    <w:rsid w:val="003435CA"/>
    <w:rsid w:val="00343D59"/>
    <w:rsid w:val="00344293"/>
    <w:rsid w:val="00347CCC"/>
    <w:rsid w:val="003559FF"/>
    <w:rsid w:val="003565EA"/>
    <w:rsid w:val="0036370D"/>
    <w:rsid w:val="00367053"/>
    <w:rsid w:val="003831A5"/>
    <w:rsid w:val="00397C65"/>
    <w:rsid w:val="003B2003"/>
    <w:rsid w:val="003C75C4"/>
    <w:rsid w:val="003E5E1D"/>
    <w:rsid w:val="00410EE9"/>
    <w:rsid w:val="00417070"/>
    <w:rsid w:val="00425FB4"/>
    <w:rsid w:val="004368E6"/>
    <w:rsid w:val="00464452"/>
    <w:rsid w:val="0046651A"/>
    <w:rsid w:val="0047072F"/>
    <w:rsid w:val="004771D1"/>
    <w:rsid w:val="00482C9C"/>
    <w:rsid w:val="004851B1"/>
    <w:rsid w:val="00497048"/>
    <w:rsid w:val="004A6183"/>
    <w:rsid w:val="004B0B15"/>
    <w:rsid w:val="004C0C30"/>
    <w:rsid w:val="004C1302"/>
    <w:rsid w:val="004C142C"/>
    <w:rsid w:val="004C38A0"/>
    <w:rsid w:val="004C43F9"/>
    <w:rsid w:val="004C709B"/>
    <w:rsid w:val="004D4508"/>
    <w:rsid w:val="004E55A9"/>
    <w:rsid w:val="004E642A"/>
    <w:rsid w:val="004F5FFE"/>
    <w:rsid w:val="005007E7"/>
    <w:rsid w:val="00503909"/>
    <w:rsid w:val="00545B1B"/>
    <w:rsid w:val="0055162D"/>
    <w:rsid w:val="0055658F"/>
    <w:rsid w:val="00557DAB"/>
    <w:rsid w:val="0056138C"/>
    <w:rsid w:val="00563A49"/>
    <w:rsid w:val="00571BDE"/>
    <w:rsid w:val="00581564"/>
    <w:rsid w:val="005C2E9F"/>
    <w:rsid w:val="005C3CF9"/>
    <w:rsid w:val="005D0DFE"/>
    <w:rsid w:val="00632945"/>
    <w:rsid w:val="00664BDF"/>
    <w:rsid w:val="00685BBD"/>
    <w:rsid w:val="00693790"/>
    <w:rsid w:val="006A1BD9"/>
    <w:rsid w:val="006A34F5"/>
    <w:rsid w:val="006C1EB0"/>
    <w:rsid w:val="006D662D"/>
    <w:rsid w:val="006F4037"/>
    <w:rsid w:val="00701F61"/>
    <w:rsid w:val="0072600C"/>
    <w:rsid w:val="007309CE"/>
    <w:rsid w:val="00736DCA"/>
    <w:rsid w:val="00742850"/>
    <w:rsid w:val="00754E13"/>
    <w:rsid w:val="00775570"/>
    <w:rsid w:val="00775697"/>
    <w:rsid w:val="007869AF"/>
    <w:rsid w:val="007925C5"/>
    <w:rsid w:val="007A36AE"/>
    <w:rsid w:val="007B1751"/>
    <w:rsid w:val="007C697D"/>
    <w:rsid w:val="007D24E1"/>
    <w:rsid w:val="007E325B"/>
    <w:rsid w:val="007E60E4"/>
    <w:rsid w:val="007F2846"/>
    <w:rsid w:val="007F7FA9"/>
    <w:rsid w:val="008004CA"/>
    <w:rsid w:val="00801E3E"/>
    <w:rsid w:val="00804677"/>
    <w:rsid w:val="0082061E"/>
    <w:rsid w:val="0082490E"/>
    <w:rsid w:val="0083176A"/>
    <w:rsid w:val="00837110"/>
    <w:rsid w:val="00842085"/>
    <w:rsid w:val="00850940"/>
    <w:rsid w:val="00852DE2"/>
    <w:rsid w:val="00857730"/>
    <w:rsid w:val="0086601D"/>
    <w:rsid w:val="00885DAF"/>
    <w:rsid w:val="008865C2"/>
    <w:rsid w:val="008A0247"/>
    <w:rsid w:val="008A71B6"/>
    <w:rsid w:val="008C64F8"/>
    <w:rsid w:val="008D02AF"/>
    <w:rsid w:val="008D515F"/>
    <w:rsid w:val="008D6CBF"/>
    <w:rsid w:val="008E3B5B"/>
    <w:rsid w:val="008E4EBD"/>
    <w:rsid w:val="0091234D"/>
    <w:rsid w:val="0092433A"/>
    <w:rsid w:val="00930D9B"/>
    <w:rsid w:val="00932195"/>
    <w:rsid w:val="00932612"/>
    <w:rsid w:val="009369C7"/>
    <w:rsid w:val="009418C1"/>
    <w:rsid w:val="00941D1F"/>
    <w:rsid w:val="00943666"/>
    <w:rsid w:val="00963FDD"/>
    <w:rsid w:val="00965E64"/>
    <w:rsid w:val="00966C81"/>
    <w:rsid w:val="00972092"/>
    <w:rsid w:val="009779FD"/>
    <w:rsid w:val="009A7D21"/>
    <w:rsid w:val="009C79AA"/>
    <w:rsid w:val="009C7C23"/>
    <w:rsid w:val="009D12C2"/>
    <w:rsid w:val="009F6B00"/>
    <w:rsid w:val="00A1079A"/>
    <w:rsid w:val="00A20387"/>
    <w:rsid w:val="00A233F8"/>
    <w:rsid w:val="00A26C5A"/>
    <w:rsid w:val="00A27CD6"/>
    <w:rsid w:val="00A30700"/>
    <w:rsid w:val="00A33320"/>
    <w:rsid w:val="00A46BB0"/>
    <w:rsid w:val="00A743DE"/>
    <w:rsid w:val="00A74772"/>
    <w:rsid w:val="00A824F8"/>
    <w:rsid w:val="00A836CC"/>
    <w:rsid w:val="00AC4F1A"/>
    <w:rsid w:val="00AD620D"/>
    <w:rsid w:val="00AF36AF"/>
    <w:rsid w:val="00B25D9D"/>
    <w:rsid w:val="00B347FE"/>
    <w:rsid w:val="00B709D4"/>
    <w:rsid w:val="00B761F0"/>
    <w:rsid w:val="00B94FC3"/>
    <w:rsid w:val="00BB2DA2"/>
    <w:rsid w:val="00BB6F36"/>
    <w:rsid w:val="00BC0CFA"/>
    <w:rsid w:val="00BF6FD7"/>
    <w:rsid w:val="00C124D5"/>
    <w:rsid w:val="00C14220"/>
    <w:rsid w:val="00C32289"/>
    <w:rsid w:val="00C53540"/>
    <w:rsid w:val="00C6629F"/>
    <w:rsid w:val="00CA6AEB"/>
    <w:rsid w:val="00CA727C"/>
    <w:rsid w:val="00CA7BEB"/>
    <w:rsid w:val="00CB37B5"/>
    <w:rsid w:val="00CB6B75"/>
    <w:rsid w:val="00CC02B0"/>
    <w:rsid w:val="00CC07E5"/>
    <w:rsid w:val="00CD72A7"/>
    <w:rsid w:val="00CF05BD"/>
    <w:rsid w:val="00CF6539"/>
    <w:rsid w:val="00D21BDB"/>
    <w:rsid w:val="00D22F22"/>
    <w:rsid w:val="00D30061"/>
    <w:rsid w:val="00D857E6"/>
    <w:rsid w:val="00D9441F"/>
    <w:rsid w:val="00DA0531"/>
    <w:rsid w:val="00DC003B"/>
    <w:rsid w:val="00DC5DAA"/>
    <w:rsid w:val="00DD5538"/>
    <w:rsid w:val="00DF01BF"/>
    <w:rsid w:val="00E00A95"/>
    <w:rsid w:val="00E23445"/>
    <w:rsid w:val="00E26369"/>
    <w:rsid w:val="00E31956"/>
    <w:rsid w:val="00E36DC4"/>
    <w:rsid w:val="00E375D3"/>
    <w:rsid w:val="00E47450"/>
    <w:rsid w:val="00E53A0E"/>
    <w:rsid w:val="00E80EB3"/>
    <w:rsid w:val="00E87B32"/>
    <w:rsid w:val="00EA1D43"/>
    <w:rsid w:val="00EB2952"/>
    <w:rsid w:val="00EC412E"/>
    <w:rsid w:val="00ED4642"/>
    <w:rsid w:val="00EE497D"/>
    <w:rsid w:val="00F126A1"/>
    <w:rsid w:val="00F2510B"/>
    <w:rsid w:val="00F25302"/>
    <w:rsid w:val="00F25C3B"/>
    <w:rsid w:val="00F274F0"/>
    <w:rsid w:val="00F40D93"/>
    <w:rsid w:val="00F47B41"/>
    <w:rsid w:val="00F74E78"/>
    <w:rsid w:val="00F86720"/>
    <w:rsid w:val="00F94040"/>
    <w:rsid w:val="00FA688E"/>
    <w:rsid w:val="00FD7FE7"/>
    <w:rsid w:val="02F532B5"/>
    <w:rsid w:val="231D1729"/>
    <w:rsid w:val="29405397"/>
    <w:rsid w:val="29670A9B"/>
    <w:rsid w:val="3E571D97"/>
    <w:rsid w:val="4002695D"/>
    <w:rsid w:val="40A73058"/>
    <w:rsid w:val="43170B09"/>
    <w:rsid w:val="5900254D"/>
    <w:rsid w:val="59AB37A2"/>
    <w:rsid w:val="5EE80EEC"/>
    <w:rsid w:val="601D789C"/>
    <w:rsid w:val="6365C64C"/>
    <w:rsid w:val="652E2BFE"/>
    <w:rsid w:val="6824F51A"/>
    <w:rsid w:val="7847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321C7"/>
  <w15:chartTrackingRefBased/>
  <w15:docId w15:val="{021388B5-64A1-4324-B1E9-24194402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751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751"/>
    <w:pPr>
      <w:keepNext/>
      <w:keepLines/>
      <w:spacing w:before="360" w:after="80" w:line="259" w:lineRule="atLeast"/>
      <w:outlineLvl w:val="0"/>
    </w:pPr>
    <w:rPr>
      <w:rFonts w:ascii="Aptos Display" w:eastAsiaTheme="majorEastAsia" w:hAnsi="Aptos Display" w:cstheme="majorBidi"/>
      <w:color w:val="85205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1751"/>
    <w:pPr>
      <w:keepNext/>
      <w:keepLines/>
      <w:spacing w:before="160" w:after="80" w:line="259" w:lineRule="atLeast"/>
      <w:outlineLvl w:val="1"/>
    </w:pPr>
    <w:rPr>
      <w:rFonts w:ascii="Aptos Display" w:eastAsiaTheme="majorEastAsia" w:hAnsi="Aptos Display" w:cstheme="majorBidi"/>
      <w:color w:val="8520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751"/>
    <w:pPr>
      <w:keepNext/>
      <w:keepLines/>
      <w:spacing w:before="160" w:after="80" w:line="259" w:lineRule="atLeast"/>
      <w:outlineLvl w:val="2"/>
    </w:pPr>
    <w:rPr>
      <w:rFonts w:ascii="Aptos" w:eastAsiaTheme="majorEastAsia" w:hAnsi="Aptos" w:cstheme="majorBidi"/>
      <w:color w:val="85205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751"/>
    <w:pPr>
      <w:keepNext/>
      <w:keepLines/>
      <w:spacing w:before="80" w:after="40" w:line="259" w:lineRule="atLeast"/>
      <w:outlineLvl w:val="3"/>
    </w:pPr>
    <w:rPr>
      <w:rFonts w:ascii="Aptos" w:eastAsiaTheme="majorEastAsia" w:hAnsi="Aptos" w:cstheme="majorBidi"/>
      <w:i/>
      <w:iCs/>
      <w:color w:val="85205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751"/>
    <w:pPr>
      <w:keepNext/>
      <w:keepLines/>
      <w:spacing w:before="80" w:after="40" w:line="259" w:lineRule="atLeast"/>
      <w:outlineLvl w:val="4"/>
    </w:pPr>
    <w:rPr>
      <w:rFonts w:ascii="Aptos" w:eastAsiaTheme="majorEastAsia" w:hAnsi="Aptos" w:cstheme="majorBidi"/>
      <w:color w:val="852057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751"/>
    <w:pPr>
      <w:keepNext/>
      <w:keepLines/>
      <w:spacing w:before="40" w:after="0" w:line="259" w:lineRule="atLeast"/>
      <w:outlineLvl w:val="5"/>
    </w:pPr>
    <w:rPr>
      <w:rFonts w:ascii="Aptos" w:eastAsiaTheme="majorEastAsia" w:hAnsi="Aptos" w:cstheme="majorBidi"/>
      <w:i/>
      <w:iCs/>
      <w:color w:val="852057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751"/>
    <w:rPr>
      <w:rFonts w:ascii="Aptos Display" w:eastAsiaTheme="majorEastAsia" w:hAnsi="Aptos Display" w:cstheme="majorBidi"/>
      <w:color w:val="85205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1751"/>
    <w:rPr>
      <w:rFonts w:ascii="Aptos Display" w:eastAsiaTheme="majorEastAsia" w:hAnsi="Aptos Display" w:cstheme="majorBidi"/>
      <w:color w:val="8520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751"/>
    <w:rPr>
      <w:rFonts w:ascii="Aptos" w:eastAsiaTheme="majorEastAsia" w:hAnsi="Aptos" w:cstheme="majorBidi"/>
      <w:color w:val="85205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751"/>
    <w:rPr>
      <w:rFonts w:ascii="Aptos" w:eastAsiaTheme="majorEastAsia" w:hAnsi="Aptos" w:cstheme="majorBidi"/>
      <w:i/>
      <w:iCs/>
      <w:color w:val="852057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751"/>
    <w:rPr>
      <w:rFonts w:ascii="Aptos" w:eastAsiaTheme="majorEastAsia" w:hAnsi="Aptos" w:cstheme="majorBidi"/>
      <w:color w:val="852057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751"/>
    <w:rPr>
      <w:rFonts w:ascii="Aptos" w:eastAsiaTheme="majorEastAsia" w:hAnsi="Aptos" w:cstheme="majorBidi"/>
      <w:i/>
      <w:iCs/>
      <w:color w:val="852057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751"/>
    <w:rPr>
      <w:i/>
      <w:iCs/>
      <w:color w:val="404040" w:themeColor="text1" w:themeTint="BF"/>
    </w:rPr>
  </w:style>
  <w:style w:type="paragraph" w:styleId="ListParagraph">
    <w:name w:val="List Paragraph"/>
    <w:aliases w:val="Arial"/>
    <w:basedOn w:val="Normal"/>
    <w:uiPriority w:val="34"/>
    <w:qFormat/>
    <w:rsid w:val="007B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7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17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751"/>
  </w:style>
  <w:style w:type="paragraph" w:styleId="Footer">
    <w:name w:val="footer"/>
    <w:basedOn w:val="Normal"/>
    <w:link w:val="FooterChar"/>
    <w:uiPriority w:val="99"/>
    <w:unhideWhenUsed/>
    <w:rsid w:val="007B17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751"/>
  </w:style>
  <w:style w:type="character" w:styleId="SubtleEmphasis">
    <w:name w:val="Subtle Emphasis"/>
    <w:basedOn w:val="DefaultParagraphFont"/>
    <w:uiPriority w:val="19"/>
    <w:qFormat/>
    <w:rsid w:val="007B1751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7B1751"/>
    <w:rPr>
      <w:b/>
      <w:bCs/>
      <w:i/>
      <w:iCs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7B175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7B1751"/>
    <w:rPr>
      <w:smallCaps/>
      <w:color w:val="5A5A5A" w:themeColor="text1" w:themeTint="A5"/>
    </w:rPr>
  </w:style>
  <w:style w:type="table" w:styleId="TableGrid">
    <w:name w:val="Table Grid"/>
    <w:basedOn w:val="TableNormal"/>
    <w:uiPriority w:val="39"/>
    <w:rsid w:val="007B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17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75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440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14402"/>
    <w:rPr>
      <w:i/>
      <w:iCs/>
    </w:rPr>
  </w:style>
  <w:style w:type="paragraph" w:styleId="NoSpacing">
    <w:name w:val="No Spacing"/>
    <w:uiPriority w:val="1"/>
    <w:qFormat/>
    <w:rsid w:val="00214402"/>
    <w:pPr>
      <w:spacing w:after="0" w:line="240" w:lineRule="auto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214402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440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gicon.logically.com/hubfs/LogicON%202026/Workbook/Resources/CMMC%20Compliance-%20Roles%20and%20Responsibilities-%20Choice.pdf" TargetMode="External"/><Relationship Id="rId18" Type="http://schemas.openxmlformats.org/officeDocument/2006/relationships/hyperlink" Target="https://www.hhs.gov/answers/hipaa/what-is-phi/index.htm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eady.gov/business/plannin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logicon.logically.com/hubfs/LogicON%202026/Workbook/Resources/SOC%202%20Compliance-%20Roles%20and%20Responsibilities%20-%20Choice.pdf" TargetMode="External"/><Relationship Id="rId17" Type="http://schemas.openxmlformats.org/officeDocument/2006/relationships/hyperlink" Target="https://csrc.nist.gov/pubs/sp/800/122/final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logicon.logically.com/hubfs/LogicON%202026/Workbook/Resources/CMMC%20Compliance-%20Roles%20and%20Responsibilities-%20Choice.pdf" TargetMode="External"/><Relationship Id="rId20" Type="http://schemas.openxmlformats.org/officeDocument/2006/relationships/hyperlink" Target="https://csrc.nist.gov/pubs/sp/1326/fin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con.logically.com/hubfs/LogicON%202026/Workbook/Resources/ISO%2027001%20Compliance-%20Roles%20and%20Responsibilities%20-%20Choice.pdf" TargetMode="External"/><Relationship Id="rId24" Type="http://schemas.openxmlformats.org/officeDocument/2006/relationships/hyperlink" Target="http://www.logically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logicon.logically.com/hubfs/LogicON%202026/Workbook/Resources/SOC%202%20Compliance-%20Roles%20and%20Responsibilities%20-%20Choice.pdf" TargetMode="External"/><Relationship Id="rId23" Type="http://schemas.openxmlformats.org/officeDocument/2006/relationships/hyperlink" Target="https://www.linkedin.com/in/alexspigel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archives.gov/cui/registry/category-lis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gicon.logically.com/hubfs/LogicON%202026/Workbook/Resources/ISO%2027001%20Compliance-%20Roles%20and%20Responsibilities%20-%20Choice.pdf" TargetMode="External"/><Relationship Id="rId22" Type="http://schemas.openxmlformats.org/officeDocument/2006/relationships/hyperlink" Target="https://www.crfsecure.org/research/crf-safeguards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JEEPAK4S4PY7-2064327088-18384</_dlc_DocId>
    <_dlc_DocIdUrl xmlns="6c1b7030-56c1-442d-b1bf-b37da5377a28">
      <Url>https://winxnet.sharepoint.com/sites/NewArchive/departments/salesandmarketing/marketing/_layouts/15/DocIdRedir.aspx?ID=JEEPAK4S4PY7-2064327088-18384</Url>
      <Description>JEEPAK4S4PY7-2064327088-18384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11FA0D-D737-4441-B091-E75AA6DD36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2.xml><?xml version="1.0" encoding="utf-8"?>
<ds:datastoreItem xmlns:ds="http://schemas.openxmlformats.org/officeDocument/2006/customXml" ds:itemID="{3182A3A1-688C-4C42-9FCF-DC4C8FE923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D0F71-2130-4AA0-9BD8-58365DB9394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C5549B0-4C19-4866-8870-624B1BE8E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2287</Words>
  <Characters>12102</Characters>
  <Application>Microsoft Office Word</Application>
  <DocSecurity>0</DocSecurity>
  <Lines>605</Lines>
  <Paragraphs>252</Paragraphs>
  <ScaleCrop>false</ScaleCrop>
  <Company/>
  <LinksUpToDate>false</LinksUpToDate>
  <CharactersWithSpaces>14137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Jen Pricci</cp:lastModifiedBy>
  <cp:revision>41</cp:revision>
  <dcterms:created xsi:type="dcterms:W3CDTF">2026-10-20T13:44:00Z</dcterms:created>
  <dcterms:modified xsi:type="dcterms:W3CDTF">2026-10-23T13:28:00Z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b2c7e511-b87f-4528-9bff-9b1506aa7e03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  <property fmtid="{D5CDD505-2E9C-101B-9397-08002B2CF9AE}" pid="9" name="docLang">
    <vt:lpwstr>en</vt:lpwstr>
  </property>
</Properties>
</file>