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B38C3" w14:textId="77777777" w:rsidR="00A01BCB" w:rsidRPr="0066693C" w:rsidRDefault="00A01BCB" w:rsidP="00A01BCB">
      <w:pPr>
        <w:pStyle w:val="Heading1"/>
        <w:rPr>
          <w:rFonts w:ascii="Century Gothic" w:hAnsi="Century Gothic"/>
          <w:color w:val="852057"/>
        </w:rPr>
      </w:pPr>
      <w:bookmarkStart w:id="0" w:name="_Toc241417105"/>
      <w:r w:rsidRPr="0066693C">
        <w:rPr>
          <w:rFonts w:ascii="Century Gothic" w:hAnsi="Century Gothic"/>
          <w:color w:val="852057"/>
        </w:rPr>
        <w:t xml:space="preserve">Data Inventory &amp; </w:t>
      </w:r>
      <w:r w:rsidRPr="00F93BCF">
        <w:rPr>
          <w:rFonts w:ascii="Century Gothic" w:hAnsi="Century Gothic"/>
          <w:color w:val="852057"/>
        </w:rPr>
        <w:t xml:space="preserve">Governance </w:t>
      </w:r>
      <w:r w:rsidRPr="0066693C">
        <w:rPr>
          <w:rFonts w:ascii="Century Gothic" w:hAnsi="Century Gothic"/>
          <w:color w:val="852057"/>
        </w:rPr>
        <w:t>Worksheet</w:t>
      </w:r>
      <w:bookmarkEnd w:id="0"/>
    </w:p>
    <w:p w14:paraId="659D6AAD" w14:textId="77777777" w:rsidR="00A01BCB" w:rsidRPr="0066693C" w:rsidRDefault="00A01BCB" w:rsidP="00A01BCB">
      <w:pPr>
        <w:rPr>
          <w:rFonts w:ascii="Century Gothic" w:hAnsi="Century Gothic"/>
        </w:rPr>
      </w:pPr>
      <w:r w:rsidRPr="0066693C">
        <w:rPr>
          <w:rFonts w:ascii="Century Gothic" w:hAnsi="Century Gothic"/>
          <w:b/>
          <w:bCs/>
        </w:rPr>
        <w:t>Objective:</w:t>
      </w:r>
      <w:r w:rsidRPr="0066693C">
        <w:rPr>
          <w:rFonts w:ascii="Century Gothic" w:hAnsi="Century Gothic"/>
        </w:rPr>
        <w:t xml:space="preserve"> Identify the critical data you have, where it lives, who owns it, who can access it, and whether it can be governed and trusted.</w:t>
      </w:r>
    </w:p>
    <w:p w14:paraId="631266E2" w14:textId="77777777" w:rsidR="00A01BCB" w:rsidRPr="0066693C" w:rsidRDefault="00A01BCB" w:rsidP="00A01BCB">
      <w:pPr>
        <w:rPr>
          <w:rStyle w:val="IntenseReference"/>
          <w:rFonts w:ascii="Century Gothic" w:hAnsi="Century Gothic"/>
          <w:color w:val="852057"/>
        </w:rPr>
      </w:pPr>
      <w:r w:rsidRPr="0066693C">
        <w:rPr>
          <w:rStyle w:val="IntenseReference"/>
          <w:rFonts w:ascii="Century Gothic" w:hAnsi="Century Gothic"/>
          <w:color w:val="852057"/>
        </w:rPr>
        <w:t>1. Critical Data &amp; System Inventory</w:t>
      </w:r>
    </w:p>
    <w:p w14:paraId="5401C57D" w14:textId="77777777" w:rsidR="00A01BCB" w:rsidRPr="0066693C" w:rsidRDefault="00A01BCB" w:rsidP="00A01BCB">
      <w:pPr>
        <w:rPr>
          <w:rFonts w:ascii="Century Gothic" w:hAnsi="Century Gothic"/>
        </w:rPr>
      </w:pPr>
      <w:r w:rsidRPr="0066693C">
        <w:rPr>
          <w:rFonts w:ascii="Century Gothic" w:hAnsi="Century Gothic"/>
        </w:rPr>
        <w:t>Start with systems containing sensitive, regulated, operationally critical, or AI-relevant data. Record unknowns rather than assuming control.</w:t>
      </w:r>
    </w:p>
    <w:tbl>
      <w:tblPr>
        <w:tblStyle w:val="GridTable4-Accent1"/>
        <w:tblW w:w="0" w:type="auto"/>
        <w:tblBorders>
          <w:top w:val="single" w:sz="4" w:space="0" w:color="852057"/>
          <w:left w:val="single" w:sz="4" w:space="0" w:color="852057"/>
          <w:bottom w:val="single" w:sz="4" w:space="0" w:color="852057"/>
          <w:right w:val="single" w:sz="4" w:space="0" w:color="852057"/>
          <w:insideH w:val="single" w:sz="4" w:space="0" w:color="852057"/>
          <w:insideV w:val="single" w:sz="4" w:space="0" w:color="852057"/>
        </w:tblBorders>
        <w:tblLook w:val="04A0" w:firstRow="1" w:lastRow="0" w:firstColumn="1" w:lastColumn="0" w:noHBand="0" w:noVBand="1"/>
      </w:tblPr>
      <w:tblGrid>
        <w:gridCol w:w="1353"/>
        <w:gridCol w:w="1349"/>
        <w:gridCol w:w="1347"/>
        <w:gridCol w:w="1349"/>
        <w:gridCol w:w="1350"/>
        <w:gridCol w:w="1349"/>
        <w:gridCol w:w="1347"/>
        <w:gridCol w:w="1346"/>
      </w:tblGrid>
      <w:tr w:rsidR="005144B9" w:rsidRPr="0066693C" w14:paraId="76BDB263" w14:textId="77777777" w:rsidTr="008776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630240FF" w14:textId="74DF289D" w:rsidR="00D53B66" w:rsidRPr="0066693C" w:rsidRDefault="00D53B66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System / repository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688468C0" w14:textId="526F530B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Business purpose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3AB38017" w14:textId="0A15F3E9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Critical data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1345D33E" w14:textId="2365290D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Business owner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78C59FAD" w14:textId="30684724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Location / vendor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508BABDA" w14:textId="2411384F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Who can access?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194CBBB7" w14:textId="5F13F4C6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Key flows / sharing</w:t>
            </w:r>
          </w:p>
        </w:tc>
        <w:tc>
          <w:tcPr>
            <w:tcW w:w="13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852057"/>
            <w:hideMark/>
          </w:tcPr>
          <w:p w14:paraId="2FCA1613" w14:textId="2342C308" w:rsidR="00D53B66" w:rsidRPr="0066693C" w:rsidRDefault="00D53B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FFFFFF"/>
              </w:rPr>
              <w:t>Known gap</w:t>
            </w:r>
          </w:p>
        </w:tc>
      </w:tr>
      <w:tr w:rsidR="005144B9" w:rsidRPr="0066693C" w14:paraId="533C03E8" w14:textId="77777777" w:rsidTr="00877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F1C7DE"/>
            <w:hideMark/>
          </w:tcPr>
          <w:p w14:paraId="667177D9" w14:textId="0B33AB42" w:rsidR="00D53B66" w:rsidRPr="0066693C" w:rsidRDefault="00D53B66" w:rsidP="00E32B8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2A0FB1A6" w14:textId="223C06E5" w:rsidR="00D53B66" w:rsidRPr="0066693C" w:rsidRDefault="00D53B66" w:rsidP="000D2C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371F03C6" w14:textId="42825FDA" w:rsidR="00D53B66" w:rsidRPr="0066693C" w:rsidRDefault="00D53B66" w:rsidP="00FA1F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3BE08DEF" w14:textId="2695D5EC" w:rsidR="00D53B66" w:rsidRPr="0066693C" w:rsidRDefault="00D53B66" w:rsidP="00BB6F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30B1DCD9" w14:textId="31823328" w:rsidR="00D53B66" w:rsidRPr="0066693C" w:rsidRDefault="00D53B66" w:rsidP="009351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32722E33" w14:textId="60ABD9AC" w:rsidR="00D53B66" w:rsidRPr="0066693C" w:rsidRDefault="00D53B66" w:rsidP="000339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61632B4C" w14:textId="1B5D9618" w:rsidR="00D53B66" w:rsidRPr="0066693C" w:rsidRDefault="00D53B66" w:rsidP="00934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3480FB78" w14:textId="73B74F7A" w:rsidR="00D53B66" w:rsidRPr="0066693C" w:rsidRDefault="00D53B66" w:rsidP="00106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</w:tr>
      <w:tr w:rsidR="005144B9" w:rsidRPr="0066693C" w14:paraId="7D771273" w14:textId="77777777" w:rsidTr="008776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</w:tcPr>
          <w:p w14:paraId="406EC8E7" w14:textId="426417FC" w:rsidR="00D53B66" w:rsidRPr="0066693C" w:rsidRDefault="00D53B66">
            <w:pPr>
              <w:spacing w:after="16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751E15CA" w14:textId="6B3B3D5F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1E36D85A" w14:textId="33546232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3916B2D0" w14:textId="7AED8487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36D69F4B" w14:textId="119AEAAB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62A9CFE5" w14:textId="5DB32D9C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27996141" w14:textId="1F5E5B8B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4234C504" w14:textId="64F4F369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</w:tr>
      <w:tr w:rsidR="005144B9" w:rsidRPr="0066693C" w14:paraId="7A969812" w14:textId="77777777" w:rsidTr="008776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  <w:shd w:val="clear" w:color="auto" w:fill="F1C7DE"/>
            <w:hideMark/>
          </w:tcPr>
          <w:p w14:paraId="5C0BCA79" w14:textId="7E524B65" w:rsidR="00D53B66" w:rsidRPr="0066693C" w:rsidRDefault="00D53B66" w:rsidP="00576E78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4B63782C" w14:textId="2D0358F1" w:rsidR="00D53B66" w:rsidRPr="0066693C" w:rsidRDefault="00D53B66" w:rsidP="00F952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4205FF42" w14:textId="1F1390A9" w:rsidR="00D53B66" w:rsidRPr="0066693C" w:rsidRDefault="00D53B66" w:rsidP="00EB59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7B1E678E" w14:textId="625A8B54" w:rsidR="00D53B66" w:rsidRPr="0066693C" w:rsidRDefault="00D53B66" w:rsidP="006542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5877B7F5" w14:textId="66368513" w:rsidR="00D53B66" w:rsidRPr="0066693C" w:rsidRDefault="00D53B66" w:rsidP="000411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03D91823" w14:textId="12F1B7FA" w:rsidR="00D53B66" w:rsidRPr="0066693C" w:rsidRDefault="00D53B66" w:rsidP="002A41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3A7F99EF" w14:textId="0F7D1E99" w:rsidR="00D53B66" w:rsidRPr="0066693C" w:rsidRDefault="00D53B66" w:rsidP="00E038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  <w:tc>
          <w:tcPr>
            <w:tcW w:w="1357" w:type="dxa"/>
            <w:shd w:val="clear" w:color="auto" w:fill="F1C7DE"/>
            <w:hideMark/>
          </w:tcPr>
          <w:p w14:paraId="4C412789" w14:textId="44AD6035" w:rsidR="00D53B66" w:rsidRPr="0066693C" w:rsidRDefault="00D53B66" w:rsidP="005A02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color w:val="000000"/>
              </w:rPr>
              <w:t xml:space="preserve"> </w:t>
            </w:r>
          </w:p>
        </w:tc>
      </w:tr>
      <w:tr w:rsidR="005144B9" w:rsidRPr="0066693C" w14:paraId="5D561E88" w14:textId="77777777" w:rsidTr="008776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7" w:type="dxa"/>
          </w:tcPr>
          <w:p w14:paraId="7E54DA8E" w14:textId="296D558F" w:rsidR="00D53B66" w:rsidRPr="0066693C" w:rsidRDefault="00D53B66">
            <w:pPr>
              <w:spacing w:after="16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185168B5" w14:textId="335E240D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062AA99F" w14:textId="41EA01C6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2DB9DF47" w14:textId="7085A0B6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4EB76834" w14:textId="4441AEEE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6D2582AE" w14:textId="2A6D105F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53134DB6" w14:textId="5BE122A1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1357" w:type="dxa"/>
          </w:tcPr>
          <w:p w14:paraId="26992CBD" w14:textId="7B50F554" w:rsidR="00D53B66" w:rsidRPr="0066693C" w:rsidRDefault="00D53B6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 xml:space="preserve"> </w:t>
            </w:r>
          </w:p>
        </w:tc>
      </w:tr>
    </w:tbl>
    <w:p w14:paraId="0E405711" w14:textId="77777777" w:rsidR="00D72483" w:rsidRDefault="00D72483" w:rsidP="00A01BCB">
      <w:pPr>
        <w:rPr>
          <w:rStyle w:val="IntenseReference"/>
          <w:rFonts w:ascii="Century Gothic" w:hAnsi="Century Gothic"/>
          <w:color w:val="852057"/>
        </w:rPr>
      </w:pPr>
    </w:p>
    <w:p w14:paraId="4BDE395F" w14:textId="5AC337CB" w:rsidR="00A01BCB" w:rsidRPr="0066693C" w:rsidRDefault="00A01BCB" w:rsidP="00A01BCB">
      <w:pPr>
        <w:rPr>
          <w:rStyle w:val="IntenseReference"/>
          <w:rFonts w:ascii="Century Gothic" w:hAnsi="Century Gothic"/>
          <w:color w:val="852057"/>
        </w:rPr>
      </w:pPr>
      <w:r w:rsidRPr="0066693C">
        <w:rPr>
          <w:rStyle w:val="IntenseReference"/>
          <w:rFonts w:ascii="Century Gothic" w:hAnsi="Century Gothic"/>
          <w:color w:val="852057"/>
        </w:rPr>
        <w:t>2. Inventory Completeness Check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698"/>
        <w:gridCol w:w="2699"/>
        <w:gridCol w:w="2698"/>
        <w:gridCol w:w="2695"/>
      </w:tblGrid>
      <w:tr w:rsidR="00A01BCB" w:rsidRPr="0066693C" w14:paraId="62DD2833" w14:textId="77777777" w:rsidTr="00A51EA0">
        <w:trPr>
          <w:trHeight w:val="576"/>
        </w:trPr>
        <w:tc>
          <w:tcPr>
            <w:tcW w:w="271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BD5EB" w14:textId="49404867" w:rsidR="00A01BCB" w:rsidRPr="00BB78F9" w:rsidRDefault="00094C55" w:rsidP="00094C55">
            <w:pPr>
              <w:rPr>
                <w:rFonts w:ascii="Century Gothic" w:hAnsi="Century Gothic"/>
                <w:sz w:val="18"/>
                <w:szCs w:val="24"/>
              </w:rPr>
            </w:pPr>
            <w:r w:rsidRPr="00BB78F9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BB78F9">
              <w:rPr>
                <w:rFonts w:ascii="Century Gothic" w:hAnsi="Century Gothic"/>
                <w:sz w:val="18"/>
                <w:szCs w:val="18"/>
              </w:rPr>
              <w:t xml:space="preserve"> SaaS and cloud applications</w:t>
            </w:r>
          </w:p>
        </w:tc>
        <w:tc>
          <w:tcPr>
            <w:tcW w:w="271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A5B22" w14:textId="7B09F15D" w:rsidR="00A01BCB" w:rsidRPr="00BB78F9" w:rsidRDefault="00F13973" w:rsidP="00F13973">
            <w:pPr>
              <w:rPr>
                <w:rFonts w:ascii="Century Gothic" w:hAnsi="Century Gothic"/>
                <w:sz w:val="18"/>
                <w:szCs w:val="24"/>
              </w:rPr>
            </w:pPr>
            <w:r w:rsidRPr="00BB78F9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BB78F9">
              <w:rPr>
                <w:rFonts w:ascii="Century Gothic" w:hAnsi="Century Gothic"/>
                <w:sz w:val="18"/>
                <w:szCs w:val="18"/>
              </w:rPr>
              <w:t xml:space="preserve"> File shares and collaboration platforms</w:t>
            </w:r>
          </w:p>
        </w:tc>
        <w:tc>
          <w:tcPr>
            <w:tcW w:w="271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6FB1F" w14:textId="2C0BF081" w:rsidR="00A01BCB" w:rsidRPr="00BB78F9" w:rsidRDefault="00667EA7" w:rsidP="00667EA7">
            <w:pPr>
              <w:rPr>
                <w:rFonts w:ascii="Century Gothic" w:hAnsi="Century Gothic"/>
                <w:sz w:val="18"/>
                <w:szCs w:val="24"/>
              </w:rPr>
            </w:pPr>
            <w:r w:rsidRPr="00BB78F9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BB78F9">
              <w:rPr>
                <w:rFonts w:ascii="Century Gothic" w:hAnsi="Century Gothic"/>
                <w:sz w:val="18"/>
                <w:szCs w:val="18"/>
              </w:rPr>
              <w:t xml:space="preserve"> Endpoints and local storage</w:t>
            </w:r>
          </w:p>
        </w:tc>
        <w:tc>
          <w:tcPr>
            <w:tcW w:w="2714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BCB0F2" w14:textId="25BD14AA" w:rsidR="00A01BCB" w:rsidRPr="00BB78F9" w:rsidRDefault="001369E1" w:rsidP="001369E1">
            <w:pPr>
              <w:rPr>
                <w:rFonts w:ascii="Century Gothic" w:hAnsi="Century Gothic"/>
                <w:sz w:val="18"/>
                <w:szCs w:val="24"/>
              </w:rPr>
            </w:pPr>
            <w:r w:rsidRPr="00BB78F9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BB78F9">
              <w:rPr>
                <w:rFonts w:ascii="Century Gothic" w:hAnsi="Century Gothic"/>
                <w:sz w:val="18"/>
                <w:szCs w:val="18"/>
              </w:rPr>
              <w:t xml:space="preserve"> Third-party and vendor systems</w:t>
            </w:r>
          </w:p>
        </w:tc>
      </w:tr>
      <w:tr w:rsidR="00A01BCB" w:rsidRPr="0066693C" w14:paraId="694BAEA7" w14:textId="77777777" w:rsidTr="00BB2D44">
        <w:trPr>
          <w:trHeight w:val="576"/>
        </w:trPr>
        <w:tc>
          <w:tcPr>
            <w:tcW w:w="2714" w:type="dxa"/>
            <w:vAlign w:val="center"/>
          </w:tcPr>
          <w:p w14:paraId="595C2922" w14:textId="77777777" w:rsidR="00A01BCB" w:rsidRPr="0066693C" w:rsidRDefault="00A01BCB" w:rsidP="00BB2D44">
            <w:pPr>
              <w:rPr>
                <w:rFonts w:ascii="Century Gothic" w:hAnsi="Century Gothic"/>
                <w:sz w:val="18"/>
                <w:szCs w:val="24"/>
              </w:rPr>
            </w:pPr>
            <w:r w:rsidRPr="0066693C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66693C">
              <w:rPr>
                <w:rFonts w:ascii="Century Gothic" w:hAnsi="Century Gothic"/>
                <w:sz w:val="18"/>
                <w:szCs w:val="24"/>
              </w:rPr>
              <w:t xml:space="preserve"> Integrations, exports, and backups</w:t>
            </w:r>
          </w:p>
        </w:tc>
        <w:tc>
          <w:tcPr>
            <w:tcW w:w="2714" w:type="dxa"/>
            <w:vAlign w:val="center"/>
          </w:tcPr>
          <w:p w14:paraId="3FA2D9D0" w14:textId="77777777" w:rsidR="00A01BCB" w:rsidRPr="0066693C" w:rsidRDefault="00A01BCB" w:rsidP="00BB2D44">
            <w:pPr>
              <w:rPr>
                <w:rFonts w:ascii="Century Gothic" w:hAnsi="Century Gothic"/>
                <w:sz w:val="18"/>
                <w:szCs w:val="24"/>
              </w:rPr>
            </w:pPr>
            <w:r w:rsidRPr="0066693C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66693C">
              <w:rPr>
                <w:rFonts w:ascii="Century Gothic" w:hAnsi="Century Gothic"/>
                <w:sz w:val="18"/>
                <w:szCs w:val="24"/>
              </w:rPr>
              <w:t xml:space="preserve"> AI tools, agents, and connectors</w:t>
            </w:r>
          </w:p>
        </w:tc>
        <w:tc>
          <w:tcPr>
            <w:tcW w:w="2714" w:type="dxa"/>
            <w:vAlign w:val="center"/>
          </w:tcPr>
          <w:p w14:paraId="658ADFF2" w14:textId="77777777" w:rsidR="00A01BCB" w:rsidRPr="0066693C" w:rsidRDefault="00A01BCB" w:rsidP="00BB2D44">
            <w:pPr>
              <w:rPr>
                <w:rFonts w:ascii="Century Gothic" w:hAnsi="Century Gothic"/>
                <w:sz w:val="18"/>
                <w:szCs w:val="24"/>
              </w:rPr>
            </w:pPr>
            <w:r w:rsidRPr="0066693C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66693C">
              <w:rPr>
                <w:rFonts w:ascii="Century Gothic" w:hAnsi="Century Gothic"/>
                <w:sz w:val="18"/>
                <w:szCs w:val="24"/>
              </w:rPr>
              <w:t xml:space="preserve"> Shadow IT and unmanaged repositories</w:t>
            </w:r>
          </w:p>
        </w:tc>
        <w:tc>
          <w:tcPr>
            <w:tcW w:w="2714" w:type="dxa"/>
            <w:vAlign w:val="center"/>
          </w:tcPr>
          <w:p w14:paraId="1BBE2986" w14:textId="77777777" w:rsidR="00A01BCB" w:rsidRPr="0066693C" w:rsidRDefault="00A01BCB" w:rsidP="00BB2D44">
            <w:pPr>
              <w:rPr>
                <w:rFonts w:ascii="Century Gothic" w:hAnsi="Century Gothic"/>
                <w:sz w:val="18"/>
                <w:szCs w:val="24"/>
              </w:rPr>
            </w:pPr>
            <w:r w:rsidRPr="0066693C">
              <w:rPr>
                <w:rFonts w:ascii="Segoe UI Symbol" w:hAnsi="Segoe UI Symbol" w:cs="Segoe UI Symbol"/>
                <w:sz w:val="18"/>
                <w:szCs w:val="24"/>
              </w:rPr>
              <w:t>☐</w:t>
            </w:r>
            <w:r w:rsidRPr="0066693C">
              <w:rPr>
                <w:rFonts w:ascii="Century Gothic" w:hAnsi="Century Gothic"/>
                <w:sz w:val="18"/>
                <w:szCs w:val="24"/>
              </w:rPr>
              <w:t xml:space="preserve"> Archived, retained, or orphaned data</w:t>
            </w:r>
          </w:p>
        </w:tc>
      </w:tr>
    </w:tbl>
    <w:p w14:paraId="1778269F" w14:textId="77777777" w:rsidR="00A01BCB" w:rsidRPr="00B340A8" w:rsidRDefault="00A01BCB" w:rsidP="00A01BCB">
      <w:pPr>
        <w:spacing w:before="240"/>
        <w:rPr>
          <w:rFonts w:ascii="Century Gothic" w:hAnsi="Century Gothic"/>
          <w:b/>
          <w:bCs/>
        </w:rPr>
      </w:pPr>
      <w:r w:rsidRPr="00B340A8">
        <w:rPr>
          <w:rFonts w:ascii="Century Gothic" w:hAnsi="Century Gothic"/>
          <w:b/>
          <w:bCs/>
        </w:rPr>
        <w:t>What important data, system, owner, or flow is still unknown?</w:t>
      </w:r>
    </w:p>
    <w:p w14:paraId="776E4F17" w14:textId="77777777" w:rsidR="00A01BCB" w:rsidRPr="0066693C" w:rsidRDefault="00A01BCB" w:rsidP="00A01BCB">
      <w:pPr>
        <w:rPr>
          <w:rFonts w:ascii="Century Gothic" w:hAnsi="Century Gothic"/>
        </w:rPr>
      </w:pPr>
      <w:r w:rsidRPr="0066693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5DDD216F" w14:textId="77777777" w:rsidR="00A01BCB" w:rsidRPr="0066693C" w:rsidRDefault="00A01BCB" w:rsidP="00A01BCB">
      <w:pPr>
        <w:rPr>
          <w:rStyle w:val="IntenseReference"/>
          <w:rFonts w:ascii="Century Gothic" w:hAnsi="Century Gothic"/>
          <w:color w:val="852057"/>
        </w:rPr>
      </w:pPr>
      <w:r w:rsidRPr="0066693C">
        <w:rPr>
          <w:rStyle w:val="IntenseReference"/>
          <w:rFonts w:ascii="Century Gothic" w:hAnsi="Century Gothic"/>
          <w:color w:val="852057"/>
        </w:rPr>
        <w:t>3. Can We Govern It?</w:t>
      </w:r>
    </w:p>
    <w:p w14:paraId="075897BD" w14:textId="77777777" w:rsidR="00A01BCB" w:rsidRPr="0066693C" w:rsidRDefault="00A01BCB" w:rsidP="00A01BCB">
      <w:pPr>
        <w:spacing w:after="0"/>
        <w:rPr>
          <w:rFonts w:ascii="Century Gothic" w:hAnsi="Century Gothic"/>
        </w:rPr>
      </w:pPr>
      <w:r w:rsidRPr="0066693C">
        <w:rPr>
          <w:rFonts w:ascii="Century Gothic" w:hAnsi="Century Gothic"/>
        </w:rPr>
        <w:t xml:space="preserve">Select the </w:t>
      </w:r>
      <w:proofErr w:type="gramStart"/>
      <w:r w:rsidRPr="0066693C">
        <w:rPr>
          <w:rFonts w:ascii="Century Gothic" w:hAnsi="Century Gothic"/>
        </w:rPr>
        <w:t>current status</w:t>
      </w:r>
      <w:proofErr w:type="gramEnd"/>
      <w:r w:rsidRPr="0066693C">
        <w:rPr>
          <w:rFonts w:ascii="Century Gothic" w:hAnsi="Century Gothic"/>
        </w:rPr>
        <w:t xml:space="preserve">: </w:t>
      </w:r>
      <w:r w:rsidRPr="0066693C">
        <w:rPr>
          <w:rFonts w:ascii="Century Gothic" w:hAnsi="Century Gothic"/>
          <w:i/>
          <w:iCs/>
        </w:rPr>
        <w:t>Yes (Y)</w:t>
      </w:r>
      <w:r w:rsidRPr="0066693C">
        <w:rPr>
          <w:rFonts w:ascii="Century Gothic" w:hAnsi="Century Gothic"/>
        </w:rPr>
        <w:t xml:space="preserve">, </w:t>
      </w:r>
      <w:r w:rsidRPr="0066693C">
        <w:rPr>
          <w:rFonts w:ascii="Century Gothic" w:hAnsi="Century Gothic"/>
          <w:i/>
          <w:iCs/>
        </w:rPr>
        <w:t>Partial (P),</w:t>
      </w:r>
      <w:r w:rsidRPr="0066693C">
        <w:rPr>
          <w:rFonts w:ascii="Century Gothic" w:hAnsi="Century Gothic"/>
        </w:rPr>
        <w:t xml:space="preserve"> </w:t>
      </w:r>
      <w:r w:rsidRPr="0066693C">
        <w:rPr>
          <w:rFonts w:ascii="Century Gothic" w:hAnsi="Century Gothic"/>
          <w:i/>
          <w:iCs/>
        </w:rPr>
        <w:t>No (N)</w:t>
      </w:r>
      <w:r w:rsidRPr="0066693C">
        <w:rPr>
          <w:rFonts w:ascii="Century Gothic" w:hAnsi="Century Gothic"/>
        </w:rPr>
        <w:t xml:space="preserve">, or </w:t>
      </w:r>
      <w:r w:rsidRPr="0066693C">
        <w:rPr>
          <w:rFonts w:ascii="Century Gothic" w:hAnsi="Century Gothic"/>
          <w:i/>
          <w:iCs/>
        </w:rPr>
        <w:t>Unknown (?)</w:t>
      </w:r>
      <w:r w:rsidRPr="0066693C">
        <w:rPr>
          <w:rFonts w:ascii="Century Gothic" w:hAnsi="Century Gothic"/>
        </w:rPr>
        <w:t xml:space="preserve">. For every </w:t>
      </w:r>
      <w:r w:rsidRPr="0066693C">
        <w:rPr>
          <w:rFonts w:ascii="Century Gothic" w:hAnsi="Century Gothic"/>
          <w:i/>
          <w:iCs/>
        </w:rPr>
        <w:t>Partial</w:t>
      </w:r>
      <w:r w:rsidRPr="0066693C">
        <w:rPr>
          <w:rFonts w:ascii="Century Gothic" w:hAnsi="Century Gothic"/>
        </w:rPr>
        <w:t xml:space="preserve">, </w:t>
      </w:r>
      <w:proofErr w:type="gramStart"/>
      <w:r w:rsidRPr="0066693C">
        <w:rPr>
          <w:rFonts w:ascii="Century Gothic" w:hAnsi="Century Gothic"/>
          <w:i/>
          <w:iCs/>
        </w:rPr>
        <w:t>No</w:t>
      </w:r>
      <w:proofErr w:type="gramEnd"/>
      <w:r w:rsidRPr="0066693C">
        <w:rPr>
          <w:rFonts w:ascii="Century Gothic" w:hAnsi="Century Gothic"/>
        </w:rPr>
        <w:t xml:space="preserve">, or </w:t>
      </w:r>
      <w:r w:rsidRPr="0066693C">
        <w:rPr>
          <w:rFonts w:ascii="Century Gothic" w:hAnsi="Century Gothic"/>
          <w:i/>
          <w:iCs/>
        </w:rPr>
        <w:t>Unknown</w:t>
      </w:r>
      <w:r w:rsidRPr="0066693C">
        <w:rPr>
          <w:rFonts w:ascii="Century Gothic" w:hAnsi="Century Gothic"/>
        </w:rPr>
        <w:t xml:space="preserve"> selection, identify an owner and next action.</w:t>
      </w:r>
    </w:p>
    <w:tbl>
      <w:tblPr>
        <w:tblStyle w:val="ListTable3-Accent1"/>
        <w:tblW w:w="0" w:type="auto"/>
        <w:tblBorders>
          <w:top w:val="single" w:sz="4" w:space="0" w:color="852057"/>
          <w:left w:val="single" w:sz="4" w:space="0" w:color="852057"/>
          <w:bottom w:val="single" w:sz="4" w:space="0" w:color="852057"/>
          <w:right w:val="single" w:sz="4" w:space="0" w:color="852057"/>
          <w:insideH w:val="single" w:sz="4" w:space="0" w:color="852057"/>
        </w:tblBorders>
        <w:tblLook w:val="04A0" w:firstRow="1" w:lastRow="0" w:firstColumn="1" w:lastColumn="0" w:noHBand="0" w:noVBand="1"/>
      </w:tblPr>
      <w:tblGrid>
        <w:gridCol w:w="1525"/>
        <w:gridCol w:w="2804"/>
        <w:gridCol w:w="2153"/>
        <w:gridCol w:w="2154"/>
        <w:gridCol w:w="2154"/>
      </w:tblGrid>
      <w:tr w:rsidR="00A01BCB" w:rsidRPr="0066693C" w14:paraId="5D198CA4" w14:textId="77777777" w:rsidTr="007E6E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25" w:type="dxa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1DD2A" w14:textId="2F53525D" w:rsidR="00A01BCB" w:rsidRPr="0066693C" w:rsidRDefault="009B1982" w:rsidP="009B1982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Control</w:t>
            </w:r>
          </w:p>
        </w:tc>
        <w:tc>
          <w:tcPr>
            <w:tcW w:w="2804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E743D" w14:textId="190E086A" w:rsidR="00A01BCB" w:rsidRPr="0066693C" w:rsidRDefault="00F172E7" w:rsidP="00F172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What good looks like</w:t>
            </w:r>
          </w:p>
        </w:tc>
        <w:tc>
          <w:tcPr>
            <w:tcW w:w="2153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E3C3A" w14:textId="7DB1B676" w:rsidR="00A01BCB" w:rsidRPr="0066693C" w:rsidRDefault="00360018" w:rsidP="00360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Status</w:t>
            </w:r>
          </w:p>
        </w:tc>
        <w:tc>
          <w:tcPr>
            <w:tcW w:w="2154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93E68" w14:textId="5FC60098" w:rsidR="00A01BCB" w:rsidRPr="0066693C" w:rsidRDefault="006415FB" w:rsidP="006415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Owner</w:t>
            </w:r>
          </w:p>
        </w:tc>
        <w:tc>
          <w:tcPr>
            <w:tcW w:w="2154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C049A" w14:textId="4B91A003" w:rsidR="00A01BCB" w:rsidRPr="0066693C" w:rsidRDefault="002F7DF3" w:rsidP="002F7D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Next action / target</w:t>
            </w:r>
          </w:p>
        </w:tc>
      </w:tr>
      <w:tr w:rsidR="00A01BCB" w:rsidRPr="0066693C" w14:paraId="1537EA06" w14:textId="77777777" w:rsidTr="007E6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83563CB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Inventory</w:t>
            </w:r>
          </w:p>
        </w:tc>
        <w:tc>
          <w:tcPr>
            <w:tcW w:w="2804" w:type="dxa"/>
            <w:tcBorders>
              <w:top w:val="none" w:sz="0" w:space="0" w:color="auto"/>
              <w:bottom w:val="none" w:sz="0" w:space="0" w:color="auto"/>
            </w:tcBorders>
          </w:tcPr>
          <w:p w14:paraId="73423204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System and material data sets documented</w:t>
            </w:r>
          </w:p>
        </w:tc>
        <w:tc>
          <w:tcPr>
            <w:tcW w:w="2153" w:type="dxa"/>
            <w:tcBorders>
              <w:top w:val="none" w:sz="0" w:space="0" w:color="auto"/>
              <w:bottom w:val="none" w:sz="0" w:space="0" w:color="auto"/>
            </w:tcBorders>
          </w:tcPr>
          <w:p w14:paraId="4D85CA66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20B28A24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7C6A4DCF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6D24F2F5" w14:textId="77777777" w:rsidTr="007E6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</w:tcPr>
          <w:p w14:paraId="1D19AA58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Ownership</w:t>
            </w:r>
          </w:p>
        </w:tc>
        <w:tc>
          <w:tcPr>
            <w:tcW w:w="2804" w:type="dxa"/>
          </w:tcPr>
          <w:p w14:paraId="7CA8B45A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Accountable business owner named</w:t>
            </w:r>
          </w:p>
        </w:tc>
        <w:tc>
          <w:tcPr>
            <w:tcW w:w="2153" w:type="dxa"/>
          </w:tcPr>
          <w:p w14:paraId="6F1BDE59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</w:tcPr>
          <w:p w14:paraId="1B2DEDB3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</w:tcPr>
          <w:p w14:paraId="4C04BF1F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2F81F6E8" w14:textId="77777777" w:rsidTr="007E6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D899405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Classification</w:t>
            </w:r>
          </w:p>
        </w:tc>
        <w:tc>
          <w:tcPr>
            <w:tcW w:w="2804" w:type="dxa"/>
            <w:tcBorders>
              <w:top w:val="none" w:sz="0" w:space="0" w:color="auto"/>
              <w:bottom w:val="none" w:sz="0" w:space="0" w:color="auto"/>
            </w:tcBorders>
          </w:tcPr>
          <w:p w14:paraId="620056C3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Sensitivity and obligations understood</w:t>
            </w:r>
          </w:p>
        </w:tc>
        <w:tc>
          <w:tcPr>
            <w:tcW w:w="2153" w:type="dxa"/>
            <w:tcBorders>
              <w:top w:val="none" w:sz="0" w:space="0" w:color="auto"/>
              <w:bottom w:val="none" w:sz="0" w:space="0" w:color="auto"/>
            </w:tcBorders>
          </w:tcPr>
          <w:p w14:paraId="420D539A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144D0FD8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6B657D39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4D627315" w14:textId="77777777" w:rsidTr="007E6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</w:tcPr>
          <w:p w14:paraId="27E9FE38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Access</w:t>
            </w:r>
          </w:p>
        </w:tc>
        <w:tc>
          <w:tcPr>
            <w:tcW w:w="2804" w:type="dxa"/>
          </w:tcPr>
          <w:p w14:paraId="56CA7F50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Least privilege and periodic review in place</w:t>
            </w:r>
          </w:p>
        </w:tc>
        <w:tc>
          <w:tcPr>
            <w:tcW w:w="2153" w:type="dxa"/>
          </w:tcPr>
          <w:p w14:paraId="3182F927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</w:tcPr>
          <w:p w14:paraId="089D25E3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</w:tcPr>
          <w:p w14:paraId="0FC32B57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520A85B7" w14:textId="77777777" w:rsidTr="007E6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4E5DB99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Sharing</w:t>
            </w:r>
          </w:p>
        </w:tc>
        <w:tc>
          <w:tcPr>
            <w:tcW w:w="2804" w:type="dxa"/>
            <w:tcBorders>
              <w:top w:val="none" w:sz="0" w:space="0" w:color="auto"/>
              <w:bottom w:val="none" w:sz="0" w:space="0" w:color="auto"/>
            </w:tcBorders>
          </w:tcPr>
          <w:p w14:paraId="112656CD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External access and third parties visible</w:t>
            </w:r>
          </w:p>
        </w:tc>
        <w:tc>
          <w:tcPr>
            <w:tcW w:w="2153" w:type="dxa"/>
            <w:tcBorders>
              <w:top w:val="none" w:sz="0" w:space="0" w:color="auto"/>
              <w:bottom w:val="none" w:sz="0" w:space="0" w:color="auto"/>
            </w:tcBorders>
          </w:tcPr>
          <w:p w14:paraId="06DC9E43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58B0351F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7AF2DCB8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181E9E93" w14:textId="77777777" w:rsidTr="007E6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</w:tcPr>
          <w:p w14:paraId="78B89585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Retention</w:t>
            </w:r>
          </w:p>
        </w:tc>
        <w:tc>
          <w:tcPr>
            <w:tcW w:w="2804" w:type="dxa"/>
          </w:tcPr>
          <w:p w14:paraId="5C4CF990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Retention and defensible deletion defined</w:t>
            </w:r>
          </w:p>
        </w:tc>
        <w:tc>
          <w:tcPr>
            <w:tcW w:w="2153" w:type="dxa"/>
          </w:tcPr>
          <w:p w14:paraId="100EF909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</w:tcPr>
          <w:p w14:paraId="29747B14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</w:tcPr>
          <w:p w14:paraId="74A27991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11E4A18B" w14:textId="77777777" w:rsidTr="007E6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9B61A48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lastRenderedPageBreak/>
              <w:t>Lineage</w:t>
            </w:r>
          </w:p>
        </w:tc>
        <w:tc>
          <w:tcPr>
            <w:tcW w:w="2804" w:type="dxa"/>
            <w:tcBorders>
              <w:top w:val="none" w:sz="0" w:space="0" w:color="auto"/>
              <w:bottom w:val="none" w:sz="0" w:space="0" w:color="auto"/>
            </w:tcBorders>
          </w:tcPr>
          <w:p w14:paraId="0A1B34CB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Sources, destinations, and transformations known</w:t>
            </w:r>
          </w:p>
        </w:tc>
        <w:tc>
          <w:tcPr>
            <w:tcW w:w="2153" w:type="dxa"/>
            <w:tcBorders>
              <w:top w:val="none" w:sz="0" w:space="0" w:color="auto"/>
              <w:bottom w:val="none" w:sz="0" w:space="0" w:color="auto"/>
            </w:tcBorders>
          </w:tcPr>
          <w:p w14:paraId="50C51428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33A31627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1295A4EC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7F7842F2" w14:textId="77777777" w:rsidTr="007E6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</w:tcPr>
          <w:p w14:paraId="0B1600A1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Quality</w:t>
            </w:r>
          </w:p>
        </w:tc>
        <w:tc>
          <w:tcPr>
            <w:tcW w:w="2804" w:type="dxa"/>
          </w:tcPr>
          <w:p w14:paraId="6622DDA1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Accuracy, freshness, and authority understood</w:t>
            </w:r>
          </w:p>
        </w:tc>
        <w:tc>
          <w:tcPr>
            <w:tcW w:w="2153" w:type="dxa"/>
          </w:tcPr>
          <w:p w14:paraId="629D4BB8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</w:tcPr>
          <w:p w14:paraId="476EB0B4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</w:tcPr>
          <w:p w14:paraId="7C7DC194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0348614F" w14:textId="77777777" w:rsidTr="007E6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3AD4B9B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Logging</w:t>
            </w:r>
          </w:p>
        </w:tc>
        <w:tc>
          <w:tcPr>
            <w:tcW w:w="2804" w:type="dxa"/>
            <w:tcBorders>
              <w:top w:val="none" w:sz="0" w:space="0" w:color="auto"/>
              <w:bottom w:val="none" w:sz="0" w:space="0" w:color="auto"/>
            </w:tcBorders>
          </w:tcPr>
          <w:p w14:paraId="6A3A3F5D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Access and administrative activity auditable</w:t>
            </w:r>
          </w:p>
        </w:tc>
        <w:tc>
          <w:tcPr>
            <w:tcW w:w="2153" w:type="dxa"/>
            <w:tcBorders>
              <w:top w:val="none" w:sz="0" w:space="0" w:color="auto"/>
              <w:bottom w:val="none" w:sz="0" w:space="0" w:color="auto"/>
            </w:tcBorders>
          </w:tcPr>
          <w:p w14:paraId="579DCC9E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5BBFB093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  <w:tcBorders>
              <w:top w:val="none" w:sz="0" w:space="0" w:color="auto"/>
              <w:bottom w:val="none" w:sz="0" w:space="0" w:color="auto"/>
            </w:tcBorders>
          </w:tcPr>
          <w:p w14:paraId="63E5D5CF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A01BCB" w:rsidRPr="0066693C" w14:paraId="501F5435" w14:textId="77777777" w:rsidTr="007E6E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tcBorders>
              <w:right w:val="none" w:sz="0" w:space="0" w:color="auto"/>
            </w:tcBorders>
          </w:tcPr>
          <w:p w14:paraId="0AC9D7E3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AI use</w:t>
            </w:r>
          </w:p>
        </w:tc>
        <w:tc>
          <w:tcPr>
            <w:tcW w:w="2804" w:type="dxa"/>
          </w:tcPr>
          <w:p w14:paraId="7C6BDE2E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Approved AI access and use cases governed</w:t>
            </w:r>
          </w:p>
        </w:tc>
        <w:tc>
          <w:tcPr>
            <w:tcW w:w="2153" w:type="dxa"/>
          </w:tcPr>
          <w:p w14:paraId="51377CD1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Y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P </w:t>
            </w:r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N </w:t>
            </w:r>
            <w:proofErr w:type="gramStart"/>
            <w:r w:rsidRPr="0066693C">
              <w:rPr>
                <w:rFonts w:ascii="Segoe UI Symbol" w:hAnsi="Segoe UI Symbol" w:cs="Segoe UI Symbol"/>
              </w:rPr>
              <w:t>☐</w:t>
            </w:r>
            <w:r w:rsidRPr="0066693C">
              <w:rPr>
                <w:rFonts w:ascii="Century Gothic" w:hAnsi="Century Gothic"/>
              </w:rPr>
              <w:t xml:space="preserve"> ?</w:t>
            </w:r>
            <w:proofErr w:type="gramEnd"/>
          </w:p>
        </w:tc>
        <w:tc>
          <w:tcPr>
            <w:tcW w:w="2154" w:type="dxa"/>
          </w:tcPr>
          <w:p w14:paraId="58BC410E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  <w:tc>
          <w:tcPr>
            <w:tcW w:w="2154" w:type="dxa"/>
          </w:tcPr>
          <w:p w14:paraId="49189BD7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</w:tbl>
    <w:p w14:paraId="5CEE4B92" w14:textId="5558E55E" w:rsidR="00A01BCB" w:rsidRPr="0066693C" w:rsidRDefault="00A01BCB" w:rsidP="00D72483">
      <w:pPr>
        <w:spacing w:before="240"/>
        <w:rPr>
          <w:rStyle w:val="IntenseReference"/>
          <w:rFonts w:ascii="Century Gothic" w:hAnsi="Century Gothic"/>
          <w:color w:val="852057"/>
        </w:rPr>
      </w:pPr>
      <w:r w:rsidRPr="0066693C">
        <w:rPr>
          <w:rStyle w:val="IntenseReference"/>
          <w:rFonts w:ascii="Century Gothic" w:hAnsi="Century Gothic"/>
          <w:color w:val="852057"/>
        </w:rPr>
        <w:t>4. Data Governance Confidence Assessment</w:t>
      </w:r>
    </w:p>
    <w:tbl>
      <w:tblPr>
        <w:tblStyle w:val="ListTable3-Accent1"/>
        <w:tblW w:w="10781" w:type="dxa"/>
        <w:tblBorders>
          <w:top w:val="single" w:sz="4" w:space="0" w:color="852057"/>
          <w:left w:val="single" w:sz="4" w:space="0" w:color="852057"/>
          <w:bottom w:val="single" w:sz="4" w:space="0" w:color="852057"/>
          <w:right w:val="single" w:sz="4" w:space="0" w:color="852057"/>
          <w:insideH w:val="single" w:sz="4" w:space="0" w:color="852057"/>
        </w:tblBorders>
        <w:tblLook w:val="04A0" w:firstRow="1" w:lastRow="0" w:firstColumn="1" w:lastColumn="0" w:noHBand="0" w:noVBand="1"/>
      </w:tblPr>
      <w:tblGrid>
        <w:gridCol w:w="6475"/>
        <w:gridCol w:w="1435"/>
        <w:gridCol w:w="1435"/>
        <w:gridCol w:w="1436"/>
      </w:tblGrid>
      <w:tr w:rsidR="00A01BCB" w:rsidRPr="0066693C" w14:paraId="779D657D" w14:textId="77777777" w:rsidTr="002538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475" w:type="dxa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60378" w14:textId="106AC8A4" w:rsidR="00A01BCB" w:rsidRPr="0066693C" w:rsidRDefault="00A62311" w:rsidP="00A62311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Question</w:t>
            </w:r>
          </w:p>
        </w:tc>
        <w:tc>
          <w:tcPr>
            <w:tcW w:w="1435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FEDDA" w14:textId="1C0C3B49" w:rsidR="00A01BCB" w:rsidRPr="0066693C" w:rsidRDefault="00A75944" w:rsidP="00A759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High</w:t>
            </w:r>
          </w:p>
        </w:tc>
        <w:tc>
          <w:tcPr>
            <w:tcW w:w="1435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4CD8B" w14:textId="499D2A99" w:rsidR="00A01BCB" w:rsidRPr="0066693C" w:rsidRDefault="007F2966" w:rsidP="007F29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Medium</w:t>
            </w:r>
          </w:p>
        </w:tc>
        <w:tc>
          <w:tcPr>
            <w:tcW w:w="1436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DFF06" w14:textId="232C1F8F" w:rsidR="00A01BCB" w:rsidRPr="0066693C" w:rsidRDefault="007774C7" w:rsidP="007774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  <w:color w:val="FFFFFF"/>
              </w:rPr>
              <w:t>Low</w:t>
            </w:r>
          </w:p>
        </w:tc>
      </w:tr>
      <w:tr w:rsidR="00A01BCB" w:rsidRPr="0066693C" w14:paraId="07EFA6A5" w14:textId="77777777" w:rsidTr="0025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C4B6438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We know where our critical business data resides</w:t>
            </w:r>
          </w:p>
        </w:tc>
        <w:tc>
          <w:tcPr>
            <w:tcW w:w="143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2350A345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7944955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3ECE35B8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</w:tr>
      <w:tr w:rsidR="00A01BCB" w:rsidRPr="0066693C" w14:paraId="2031B2D0" w14:textId="77777777" w:rsidTr="002538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tcBorders>
              <w:right w:val="none" w:sz="0" w:space="0" w:color="auto"/>
            </w:tcBorders>
            <w:vAlign w:val="center"/>
            <w:hideMark/>
          </w:tcPr>
          <w:p w14:paraId="0FD8B068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We know who owns our critical data</w:t>
            </w:r>
          </w:p>
        </w:tc>
        <w:tc>
          <w:tcPr>
            <w:tcW w:w="1435" w:type="dxa"/>
            <w:vAlign w:val="center"/>
            <w:hideMark/>
          </w:tcPr>
          <w:p w14:paraId="06F43C8F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5" w:type="dxa"/>
            <w:vAlign w:val="center"/>
            <w:hideMark/>
          </w:tcPr>
          <w:p w14:paraId="62C3E4F5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6" w:type="dxa"/>
            <w:vAlign w:val="center"/>
            <w:hideMark/>
          </w:tcPr>
          <w:p w14:paraId="10336EE3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</w:tr>
      <w:tr w:rsidR="00A01BCB" w:rsidRPr="0066693C" w14:paraId="73DBF609" w14:textId="77777777" w:rsidTr="0025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2DA59FD1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We know who has access to our critical data</w:t>
            </w:r>
          </w:p>
        </w:tc>
        <w:tc>
          <w:tcPr>
            <w:tcW w:w="143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5F0EEFD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70D467D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355F66F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</w:tr>
      <w:tr w:rsidR="00A01BCB" w:rsidRPr="0066693C" w14:paraId="41DF5F4E" w14:textId="77777777" w:rsidTr="002538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tcBorders>
              <w:right w:val="none" w:sz="0" w:space="0" w:color="auto"/>
            </w:tcBorders>
            <w:vAlign w:val="center"/>
            <w:hideMark/>
          </w:tcPr>
          <w:p w14:paraId="587A9ED2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We can identify where sensitive data is shared externally</w:t>
            </w:r>
          </w:p>
        </w:tc>
        <w:tc>
          <w:tcPr>
            <w:tcW w:w="1435" w:type="dxa"/>
            <w:vAlign w:val="center"/>
            <w:hideMark/>
          </w:tcPr>
          <w:p w14:paraId="732BB953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5" w:type="dxa"/>
            <w:vAlign w:val="center"/>
            <w:hideMark/>
          </w:tcPr>
          <w:p w14:paraId="6F719997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6" w:type="dxa"/>
            <w:vAlign w:val="center"/>
            <w:hideMark/>
          </w:tcPr>
          <w:p w14:paraId="741E1A2E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</w:tr>
      <w:tr w:rsidR="00A01BCB" w:rsidRPr="0066693C" w14:paraId="0D5D6088" w14:textId="77777777" w:rsidTr="002538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31581245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We can confidently support AI access requests</w:t>
            </w:r>
          </w:p>
        </w:tc>
        <w:tc>
          <w:tcPr>
            <w:tcW w:w="143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AC1C03A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5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5F83EC6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6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F8CF344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</w:tr>
      <w:tr w:rsidR="00A01BCB" w:rsidRPr="0066693C" w14:paraId="12A48338" w14:textId="77777777" w:rsidTr="002538A6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75" w:type="dxa"/>
            <w:tcBorders>
              <w:right w:val="none" w:sz="0" w:space="0" w:color="auto"/>
            </w:tcBorders>
            <w:vAlign w:val="center"/>
            <w:hideMark/>
          </w:tcPr>
          <w:p w14:paraId="524CF960" w14:textId="77777777" w:rsidR="00A01BCB" w:rsidRPr="0066693C" w:rsidRDefault="00A01BCB" w:rsidP="00BB2D44">
            <w:pPr>
              <w:rPr>
                <w:rFonts w:ascii="Century Gothic" w:hAnsi="Century Gothic"/>
              </w:rPr>
            </w:pPr>
            <w:r w:rsidRPr="0066693C">
              <w:rPr>
                <w:rFonts w:ascii="Century Gothic" w:hAnsi="Century Gothic"/>
              </w:rPr>
              <w:t>We could quickly respond to a data governance audit</w:t>
            </w:r>
          </w:p>
        </w:tc>
        <w:tc>
          <w:tcPr>
            <w:tcW w:w="1435" w:type="dxa"/>
            <w:vAlign w:val="center"/>
            <w:hideMark/>
          </w:tcPr>
          <w:p w14:paraId="6E07CC03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5" w:type="dxa"/>
            <w:vAlign w:val="center"/>
            <w:hideMark/>
          </w:tcPr>
          <w:p w14:paraId="3C2A7DC2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436" w:type="dxa"/>
            <w:vAlign w:val="center"/>
            <w:hideMark/>
          </w:tcPr>
          <w:p w14:paraId="45276041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66693C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4C4ABA82" w14:textId="77777777" w:rsidR="00A01BCB" w:rsidRPr="0066693C" w:rsidRDefault="00A01BCB" w:rsidP="00A01BCB">
      <w:pPr>
        <w:spacing w:before="240"/>
        <w:rPr>
          <w:rStyle w:val="IntenseReference"/>
          <w:rFonts w:ascii="Century Gothic" w:hAnsi="Century Gothic"/>
          <w:color w:val="852057"/>
        </w:rPr>
      </w:pPr>
      <w:r w:rsidRPr="0066693C">
        <w:rPr>
          <w:rStyle w:val="IntenseReference"/>
          <w:rFonts w:ascii="Century Gothic" w:hAnsi="Century Gothic"/>
          <w:color w:val="852057"/>
        </w:rPr>
        <w:t>5. Top Governance Gaps &amp; 90-Day Actions</w:t>
      </w:r>
    </w:p>
    <w:tbl>
      <w:tblPr>
        <w:tblStyle w:val="ListTable3-Accent1"/>
        <w:tblW w:w="0" w:type="auto"/>
        <w:tblBorders>
          <w:top w:val="single" w:sz="4" w:space="0" w:color="852057"/>
          <w:left w:val="single" w:sz="4" w:space="0" w:color="852057"/>
          <w:bottom w:val="single" w:sz="4" w:space="0" w:color="852057"/>
          <w:right w:val="single" w:sz="4" w:space="0" w:color="852057"/>
          <w:insideH w:val="single" w:sz="4" w:space="0" w:color="852057"/>
        </w:tblBorders>
        <w:tblLook w:val="04A0" w:firstRow="1" w:lastRow="0" w:firstColumn="1" w:lastColumn="0" w:noHBand="0" w:noVBand="1"/>
      </w:tblPr>
      <w:tblGrid>
        <w:gridCol w:w="1796"/>
        <w:gridCol w:w="1798"/>
        <w:gridCol w:w="1799"/>
        <w:gridCol w:w="1805"/>
        <w:gridCol w:w="1796"/>
        <w:gridCol w:w="1796"/>
      </w:tblGrid>
      <w:tr w:rsidR="00A01BCB" w:rsidRPr="0066693C" w14:paraId="70967260" w14:textId="77777777" w:rsidTr="00C91A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10" w:type="dxa"/>
            <w:tcBorders>
              <w:bottom w:val="none" w:sz="0" w:space="0" w:color="auto"/>
              <w:right w:val="none" w:sz="0" w:space="0" w:color="auto"/>
            </w:tcBorders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1EBC9" w14:textId="125F91DD" w:rsidR="00A01BCB" w:rsidRPr="0066693C" w:rsidRDefault="00302701" w:rsidP="00302701">
            <w:pPr>
              <w:jc w:val="center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color w:val="FFFFFF"/>
              </w:rPr>
              <w:t>Priority gap</w:t>
            </w:r>
          </w:p>
        </w:tc>
        <w:tc>
          <w:tcPr>
            <w:tcW w:w="1810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60B4" w14:textId="4588F258" w:rsidR="00A01BCB" w:rsidRPr="0066693C" w:rsidRDefault="007725B6" w:rsidP="007725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color w:val="FFFFFF"/>
              </w:rPr>
              <w:t>Business / security impact</w:t>
            </w:r>
          </w:p>
        </w:tc>
        <w:tc>
          <w:tcPr>
            <w:tcW w:w="1810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D9556" w14:textId="62456CDC" w:rsidR="00A01BCB" w:rsidRPr="0066693C" w:rsidRDefault="009E5809" w:rsidP="009E58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color w:val="FFFFFF"/>
              </w:rPr>
              <w:t>Affected systems</w:t>
            </w:r>
          </w:p>
        </w:tc>
        <w:tc>
          <w:tcPr>
            <w:tcW w:w="1810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6C3B4" w14:textId="1CDC751E" w:rsidR="00A01BCB" w:rsidRPr="0066693C" w:rsidRDefault="00D7755C" w:rsidP="00D775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color w:val="FFFFFF"/>
              </w:rPr>
              <w:t>Accountable owner</w:t>
            </w:r>
          </w:p>
        </w:tc>
        <w:tc>
          <w:tcPr>
            <w:tcW w:w="1810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ECAD3" w14:textId="4D8D98E9" w:rsidR="00A01BCB" w:rsidRPr="0066693C" w:rsidRDefault="00E8053F" w:rsidP="00E805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color w:val="FFFFFF"/>
              </w:rPr>
              <w:t>Next action</w:t>
            </w:r>
          </w:p>
        </w:tc>
        <w:tc>
          <w:tcPr>
            <w:tcW w:w="1810" w:type="dxa"/>
            <w:shd w:val="clear" w:color="auto" w:fill="85205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7D2FF" w14:textId="5C10D66B" w:rsidR="00A01BCB" w:rsidRPr="0066693C" w:rsidRDefault="0066693C" w:rsidP="006669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color w:val="FFFFFF"/>
              </w:rPr>
              <w:t>Target date</w:t>
            </w:r>
          </w:p>
        </w:tc>
      </w:tr>
      <w:tr w:rsidR="00A01BCB" w:rsidRPr="0066693C" w14:paraId="0A497D1A" w14:textId="77777777" w:rsidTr="00C91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6AEC2E3" w14:textId="77777777" w:rsidR="00A01BCB" w:rsidRPr="0066693C" w:rsidRDefault="00A01BCB" w:rsidP="00BB2D44">
            <w:pPr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09775B9B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4301F451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3D06AB4E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43E6AE0C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03AFCC9E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  <w:tr w:rsidR="00A01BCB" w:rsidRPr="0066693C" w14:paraId="78C4DBE5" w14:textId="77777777" w:rsidTr="00C91AC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tcBorders>
              <w:right w:val="none" w:sz="0" w:space="0" w:color="auto"/>
            </w:tcBorders>
          </w:tcPr>
          <w:p w14:paraId="40510EA9" w14:textId="77777777" w:rsidR="00A01BCB" w:rsidRPr="0066693C" w:rsidRDefault="00A01BCB" w:rsidP="00BB2D44">
            <w:pPr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00AC366D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69B09C95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3773E7AF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748BE48F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35CC46CC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  <w:tr w:rsidR="00A01BCB" w:rsidRPr="0066693C" w14:paraId="056F9B6B" w14:textId="77777777" w:rsidTr="00C91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334CD96" w14:textId="77777777" w:rsidR="00A01BCB" w:rsidRPr="0066693C" w:rsidRDefault="00A01BCB" w:rsidP="00BB2D44">
            <w:pPr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0BBFD4D4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59547A9E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18F0E2AE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6C34FA89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  <w:tcBorders>
              <w:top w:val="none" w:sz="0" w:space="0" w:color="auto"/>
              <w:bottom w:val="none" w:sz="0" w:space="0" w:color="auto"/>
            </w:tcBorders>
          </w:tcPr>
          <w:p w14:paraId="477C44FE" w14:textId="77777777" w:rsidR="00A01BCB" w:rsidRPr="0066693C" w:rsidRDefault="00A01BCB" w:rsidP="00BB2D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  <w:tr w:rsidR="00A01BCB" w:rsidRPr="0066693C" w14:paraId="632EC78D" w14:textId="77777777" w:rsidTr="00C91AC7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  <w:tcBorders>
              <w:right w:val="none" w:sz="0" w:space="0" w:color="auto"/>
            </w:tcBorders>
          </w:tcPr>
          <w:p w14:paraId="25AA14DD" w14:textId="77777777" w:rsidR="00A01BCB" w:rsidRPr="0066693C" w:rsidRDefault="00A01BCB" w:rsidP="00BB2D44">
            <w:pPr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08EF3695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5C0DB2DE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1493C618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04233939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  <w:tc>
          <w:tcPr>
            <w:tcW w:w="1810" w:type="dxa"/>
          </w:tcPr>
          <w:p w14:paraId="56570384" w14:textId="77777777" w:rsidR="00A01BCB" w:rsidRPr="0066693C" w:rsidRDefault="00A01BCB" w:rsidP="00BB2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8"/>
              </w:rPr>
            </w:pPr>
            <w:r w:rsidRPr="0066693C">
              <w:rPr>
                <w:rFonts w:ascii="Century Gothic" w:hAnsi="Century Gothic"/>
                <w:szCs w:val="28"/>
              </w:rPr>
              <w:t xml:space="preserve"> </w:t>
            </w:r>
          </w:p>
        </w:tc>
      </w:tr>
    </w:tbl>
    <w:p w14:paraId="14AA5BF2" w14:textId="77777777" w:rsidR="00A01BCB" w:rsidRPr="001564B5" w:rsidRDefault="00A01BCB" w:rsidP="00A01BCB">
      <w:pPr>
        <w:spacing w:before="240"/>
        <w:rPr>
          <w:rFonts w:ascii="Century Gothic" w:hAnsi="Century Gothic"/>
        </w:rPr>
      </w:pPr>
      <w:r w:rsidRPr="001564B5">
        <w:rPr>
          <w:rFonts w:ascii="Century Gothic" w:hAnsi="Century Gothic"/>
          <w:b/>
          <w:bCs/>
        </w:rPr>
        <w:t>Executive readout:</w:t>
      </w:r>
      <w:r w:rsidRPr="001564B5">
        <w:rPr>
          <w:rFonts w:ascii="Century Gothic" w:hAnsi="Century Gothic"/>
        </w:rPr>
        <w:t xml:space="preserve"> What is the greatest unresolved data visibility or governance risk, and what decision or support is needed?</w:t>
      </w:r>
    </w:p>
    <w:p w14:paraId="6695FFB8" w14:textId="77777777" w:rsidR="00A01BCB" w:rsidRPr="0066693C" w:rsidRDefault="00A01BCB" w:rsidP="00A01BCB">
      <w:pPr>
        <w:spacing w:after="20"/>
        <w:rPr>
          <w:rFonts w:ascii="Century Gothic" w:hAnsi="Century Gothic"/>
        </w:rPr>
      </w:pPr>
      <w:r w:rsidRPr="0066693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23802783" w14:textId="77777777" w:rsidR="00A01BCB" w:rsidRPr="0066693C" w:rsidRDefault="00A01BCB" w:rsidP="00A01BCB">
      <w:pPr>
        <w:spacing w:after="20"/>
        <w:rPr>
          <w:rFonts w:ascii="Century Gothic" w:hAnsi="Century Gothic"/>
        </w:rPr>
      </w:pPr>
      <w:r w:rsidRPr="0066693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789520" w14:textId="77777777" w:rsidR="00A01BCB" w:rsidRPr="0066693C" w:rsidRDefault="00A01BCB" w:rsidP="00A01BCB">
      <w:pPr>
        <w:spacing w:after="20"/>
        <w:rPr>
          <w:rFonts w:ascii="Century Gothic" w:hAnsi="Century Gothic"/>
        </w:rPr>
      </w:pPr>
    </w:p>
    <w:p w14:paraId="5AFD9981" w14:textId="77777777" w:rsidR="00A01BCB" w:rsidRPr="0066693C" w:rsidRDefault="00A01BCB" w:rsidP="00A01BCB">
      <w:pPr>
        <w:rPr>
          <w:rFonts w:ascii="Century Gothic" w:hAnsi="Century Gothic"/>
        </w:rPr>
      </w:pPr>
      <w:r w:rsidRPr="0066693C">
        <w:rPr>
          <w:rFonts w:ascii="Century Gothic" w:hAnsi="Century Gothic"/>
          <w:b/>
          <w:bCs/>
        </w:rPr>
        <w:t>90-day outcome:</w:t>
      </w:r>
      <w:r w:rsidRPr="0066693C">
        <w:rPr>
          <w:rFonts w:ascii="Century Gothic" w:hAnsi="Century Gothic"/>
        </w:rPr>
        <w:t xml:space="preserve"> Prioritized inventory of critical data and systems, named owners, visible access and data flows, documented governance gaps, and accountable remediation actions.</w:t>
      </w:r>
    </w:p>
    <w:p w14:paraId="2D3E164F" w14:textId="77777777" w:rsidR="009C7C23" w:rsidRDefault="009C7C23">
      <w:pPr>
        <w:rPr>
          <w:rFonts w:ascii="Century Gothic" w:hAnsi="Century Gothic"/>
        </w:rPr>
      </w:pPr>
    </w:p>
    <w:p w14:paraId="483B3E31" w14:textId="77777777" w:rsidR="00841C81" w:rsidRDefault="00841C81">
      <w:pPr>
        <w:rPr>
          <w:rFonts w:ascii="Century Gothic" w:hAnsi="Century Gothic"/>
        </w:rPr>
      </w:pPr>
    </w:p>
    <w:p w14:paraId="24393534" w14:textId="16C15A05" w:rsidR="00841C81" w:rsidRDefault="00841C81" w:rsidP="00841C81">
      <w:pPr>
        <w:rPr>
          <w:rFonts w:ascii="Century Gothic" w:hAnsi="Century Gothic"/>
        </w:rPr>
      </w:pPr>
    </w:p>
    <w:p w14:paraId="57AE80DE" w14:textId="77777777" w:rsidR="0002232D" w:rsidRDefault="0002232D" w:rsidP="00841C81">
      <w:pPr>
        <w:rPr>
          <w:rFonts w:ascii="Century Gothic" w:hAnsi="Century Gothic"/>
        </w:rPr>
      </w:pPr>
    </w:p>
    <w:p w14:paraId="57D405CA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18FB46F3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23049D3B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3284EF96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55568F42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6FEB86B8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38D48DFD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42B08D1F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713FAC24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69F858C5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7B8F7FEB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5B04B6B7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2F51C266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63AAE5AE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2B5DEFB7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2724B510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0FF920D2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6355A765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715865E4" w14:textId="77777777" w:rsidR="002D5735" w:rsidRDefault="002D5735" w:rsidP="0002232D">
      <w:pPr>
        <w:rPr>
          <w:rFonts w:ascii="Century Gothic" w:hAnsi="Century Gothic"/>
          <w:b/>
          <w:bCs/>
          <w:color w:val="852057"/>
        </w:rPr>
      </w:pPr>
    </w:p>
    <w:p w14:paraId="059484D0" w14:textId="58D11F1F" w:rsidR="0002232D" w:rsidRPr="004744FF" w:rsidRDefault="0002232D" w:rsidP="0002232D">
      <w:pPr>
        <w:rPr>
          <w:rFonts w:ascii="Century Gothic" w:hAnsi="Century Gothic"/>
          <w:b/>
          <w:bCs/>
          <w:color w:val="852057"/>
        </w:rPr>
      </w:pPr>
      <w:r w:rsidRPr="004744FF">
        <w:rPr>
          <w:rFonts w:ascii="Century Gothic" w:hAnsi="Century Gothic"/>
          <w:b/>
          <w:bCs/>
          <w:color w:val="852057"/>
        </w:rPr>
        <w:t>About the Contributing Author</w:t>
      </w:r>
      <w:r w:rsidR="009036E5">
        <w:rPr>
          <w:rFonts w:ascii="Century Gothic" w:hAnsi="Century Gothic"/>
          <w:b/>
          <w:bCs/>
          <w:color w:val="852057"/>
        </w:rPr>
        <w:t>s</w:t>
      </w:r>
    </w:p>
    <w:p w14:paraId="17FAA35E" w14:textId="6797BA96" w:rsidR="0002232D" w:rsidRPr="004744FF" w:rsidRDefault="0002232D" w:rsidP="0002232D">
      <w:pPr>
        <w:spacing w:after="0"/>
        <w:rPr>
          <w:rFonts w:ascii="Century Gothic" w:hAnsi="Century Gothic"/>
          <w:color w:val="3B4D59"/>
        </w:rPr>
      </w:pPr>
      <w:hyperlink r:id="rId10" w:history="1">
        <w:r w:rsidRPr="00FD60D4">
          <w:rPr>
            <w:rStyle w:val="Hyperlink"/>
            <w:rFonts w:ascii="Century Gothic" w:hAnsi="Century Gothic"/>
            <w:color w:val="852057"/>
          </w:rPr>
          <w:t>Christopher Morton</w:t>
        </w:r>
      </w:hyperlink>
      <w:r w:rsidRPr="00841C81">
        <w:rPr>
          <w:rFonts w:ascii="Century Gothic" w:hAnsi="Century Gothic"/>
        </w:rPr>
        <w:t>, Logically</w:t>
      </w:r>
      <w:r>
        <w:rPr>
          <w:rFonts w:ascii="Century Gothic" w:hAnsi="Century Gothic"/>
        </w:rPr>
        <w:t xml:space="preserve">, </w:t>
      </w:r>
      <w:hyperlink r:id="rId11" w:history="1">
        <w:r w:rsidRPr="00FD60D4">
          <w:rPr>
            <w:rStyle w:val="Hyperlink"/>
            <w:rFonts w:ascii="Century Gothic" w:hAnsi="Century Gothic"/>
            <w:color w:val="852057"/>
          </w:rPr>
          <w:t>Eric Russo</w:t>
        </w:r>
      </w:hyperlink>
      <w:r w:rsidRPr="00841C81">
        <w:rPr>
          <w:rFonts w:ascii="Century Gothic" w:hAnsi="Century Gothic"/>
        </w:rPr>
        <w:t>, Hatz AI</w:t>
      </w:r>
      <w:r>
        <w:rPr>
          <w:rFonts w:ascii="Century Gothic" w:hAnsi="Century Gothic"/>
        </w:rPr>
        <w:t xml:space="preserve">, and </w:t>
      </w:r>
      <w:hyperlink r:id="rId12" w:history="1">
        <w:r w:rsidRPr="00FD60D4">
          <w:rPr>
            <w:rStyle w:val="Hyperlink"/>
            <w:rFonts w:ascii="Century Gothic" w:hAnsi="Century Gothic"/>
            <w:color w:val="852057"/>
          </w:rPr>
          <w:t>Callen Sapien</w:t>
        </w:r>
      </w:hyperlink>
      <w:r w:rsidRPr="00841C81">
        <w:rPr>
          <w:rFonts w:ascii="Century Gothic" w:hAnsi="Century Gothic"/>
        </w:rPr>
        <w:t xml:space="preserve">, </w:t>
      </w:r>
      <w:proofErr w:type="spellStart"/>
      <w:r w:rsidRPr="00841C81">
        <w:rPr>
          <w:rFonts w:ascii="Century Gothic" w:hAnsi="Century Gothic"/>
        </w:rPr>
        <w:t>Synthreo</w:t>
      </w:r>
      <w:proofErr w:type="spellEnd"/>
      <w:r>
        <w:rPr>
          <w:rFonts w:ascii="Century Gothic" w:hAnsi="Century Gothic"/>
        </w:rPr>
        <w:t xml:space="preserve"> </w:t>
      </w:r>
      <w:r w:rsidRPr="004744FF">
        <w:rPr>
          <w:rFonts w:ascii="Century Gothic" w:hAnsi="Century Gothic"/>
        </w:rPr>
        <w:t xml:space="preserve">for Logically’s cybersecurity summit, LogicON. </w:t>
      </w:r>
    </w:p>
    <w:p w14:paraId="7DCF4A53" w14:textId="77777777" w:rsidR="0002232D" w:rsidRPr="004744FF" w:rsidRDefault="0002232D" w:rsidP="0002232D">
      <w:pPr>
        <w:rPr>
          <w:rFonts w:ascii="Century Gothic" w:hAnsi="Century Gothic"/>
          <w:b/>
          <w:bCs/>
          <w:color w:val="852057"/>
        </w:rPr>
      </w:pPr>
      <w:r w:rsidRPr="004744FF">
        <w:rPr>
          <w:rFonts w:ascii="Century Gothic" w:hAnsi="Century Gothic"/>
          <w:b/>
          <w:bCs/>
          <w:color w:val="3B4D59"/>
        </w:rPr>
        <w:br/>
      </w:r>
      <w:r w:rsidRPr="004744FF">
        <w:rPr>
          <w:rFonts w:ascii="Century Gothic" w:hAnsi="Century Gothic"/>
          <w:b/>
          <w:bCs/>
          <w:color w:val="852057"/>
        </w:rPr>
        <w:t>About Logically</w:t>
      </w:r>
    </w:p>
    <w:p w14:paraId="14634AE7" w14:textId="77777777" w:rsidR="0002232D" w:rsidRPr="004744FF" w:rsidRDefault="0002232D" w:rsidP="0002232D">
      <w:pPr>
        <w:rPr>
          <w:rFonts w:ascii="Century Gothic" w:hAnsi="Century Gothic"/>
        </w:rPr>
      </w:pPr>
      <w:r w:rsidRPr="004744FF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020499FF" w14:textId="6FD5BD26" w:rsidR="0002232D" w:rsidRPr="0066693C" w:rsidRDefault="0002232D" w:rsidP="00841C81">
      <w:pPr>
        <w:rPr>
          <w:rFonts w:ascii="Century Gothic" w:hAnsi="Century Gothic"/>
        </w:rPr>
      </w:pPr>
      <w:r w:rsidRPr="004744FF">
        <w:rPr>
          <w:rFonts w:ascii="Century Gothic" w:hAnsi="Century Gothic"/>
        </w:rPr>
        <w:t xml:space="preserve">Visit </w:t>
      </w:r>
      <w:hyperlink r:id="rId13" w:history="1">
        <w:r w:rsidRPr="004744FF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4744FF">
        <w:rPr>
          <w:rFonts w:ascii="Century Gothic" w:hAnsi="Century Gothic"/>
        </w:rPr>
        <w:t xml:space="preserve"> to learn more.</w:t>
      </w:r>
    </w:p>
    <w:sectPr w:rsidR="0002232D" w:rsidRPr="0066693C" w:rsidSect="00A01BC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F5E8A" w14:textId="77777777" w:rsidR="008C550E" w:rsidRDefault="008C550E" w:rsidP="00A01BCB">
      <w:pPr>
        <w:spacing w:after="0" w:line="240" w:lineRule="auto"/>
      </w:pPr>
      <w:r>
        <w:separator/>
      </w:r>
    </w:p>
  </w:endnote>
  <w:endnote w:type="continuationSeparator" w:id="0">
    <w:p w14:paraId="458D374E" w14:textId="77777777" w:rsidR="008C550E" w:rsidRDefault="008C550E" w:rsidP="00A01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C2AD7" w14:textId="4616EAFF" w:rsidR="00A01BCB" w:rsidRDefault="00A01B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A946" w14:textId="55DE0F06" w:rsidR="00A01BCB" w:rsidRDefault="00A01B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229F" w14:textId="334A7476" w:rsidR="00A01BCB" w:rsidRDefault="00A01B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00D6A" w14:textId="77777777" w:rsidR="008C550E" w:rsidRDefault="008C550E" w:rsidP="00A01BCB">
      <w:pPr>
        <w:spacing w:after="0" w:line="240" w:lineRule="auto"/>
      </w:pPr>
      <w:r>
        <w:separator/>
      </w:r>
    </w:p>
  </w:footnote>
  <w:footnote w:type="continuationSeparator" w:id="0">
    <w:p w14:paraId="4EE888E0" w14:textId="77777777" w:rsidR="008C550E" w:rsidRDefault="008C550E" w:rsidP="00A01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16484" w14:textId="77777777" w:rsidR="00A01BCB" w:rsidRDefault="00A01B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D4EBF" w14:textId="70206A19" w:rsidR="00A01BCB" w:rsidRDefault="00A01BCB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693446F" wp14:editId="01C5E508">
          <wp:simplePos x="0" y="0"/>
          <wp:positionH relativeFrom="column">
            <wp:posOffset>5409789</wp:posOffset>
          </wp:positionH>
          <wp:positionV relativeFrom="paragraph">
            <wp:posOffset>12850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9A4A7F4" wp14:editId="0B5A86C2">
              <wp:simplePos x="0" y="0"/>
              <wp:positionH relativeFrom="column">
                <wp:posOffset>-461683</wp:posOffset>
              </wp:positionH>
              <wp:positionV relativeFrom="paragraph">
                <wp:posOffset>-452718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FE5316" id="Rectangle 7" o:spid="_x0000_s1026" style="position:absolute;margin-left:-36.35pt;margin-top:-35.65pt;width:612.05pt;height:29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CnQXyP4AAAAAwBAAAPAAAAZHJzL2Rvd25yZXYueG1sTI/LbsIwEEX3lfoP1lTqDhynFFAaB6G+&#10;FmUFLVKXJp48hD2OYgNpv77OquzmcXTnTL4arGFn7H3rSIKYJsCQSqdbqiV8fb5NlsB8UKSVcYQS&#10;ftDDqri9yVWm3YW2eN6FmsUQ8pmS0ITQZZz7skGr/NR1SHFXud6qENu+5rpXlxhuDU+TZM6taile&#10;aFSHzw2Wx93JSni129/3l33Soi2pGsJHtTHfXMr7u2H9BCzgEP5hGPWjOhTR6eBOpD0zEiaLdBHR&#10;sRAPwEZCPIoZsEMciXQGvMj59RPFHwAAAP//AwBQSwECLQAUAAYACAAAACEAtoM4kv4AAADhAQAA&#10;EwAAAAAAAAAAAAAAAAAAAAAAW0NvbnRlbnRfVHlwZXNdLnhtbFBLAQItABQABgAIAAAAIQA4/SH/&#10;1gAAAJQBAAALAAAAAAAAAAAAAAAAAC8BAABfcmVscy8ucmVsc1BLAQItABQABgAIAAAAIQBD8m4V&#10;gAIAAF8FAAAOAAAAAAAAAAAAAAAAAC4CAABkcnMvZTJvRG9jLnhtbFBLAQItABQABgAIAAAAIQCn&#10;QXyP4AAAAAwBAAAPAAAAAAAAAAAAAAAAANoEAABkcnMvZG93bnJldi54bWxQSwUGAAAAAAQABADz&#10;AAAA5wUAAAAA&#10;" fillcolor="#852057" stroked="f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0709" w14:textId="77777777" w:rsidR="00A01BCB" w:rsidRDefault="00A01B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CB"/>
    <w:rsid w:val="0002232D"/>
    <w:rsid w:val="000339E5"/>
    <w:rsid w:val="00041107"/>
    <w:rsid w:val="00041464"/>
    <w:rsid w:val="00042AA5"/>
    <w:rsid w:val="000922C9"/>
    <w:rsid w:val="00094C55"/>
    <w:rsid w:val="000B4700"/>
    <w:rsid w:val="000C0237"/>
    <w:rsid w:val="000D2C23"/>
    <w:rsid w:val="00106290"/>
    <w:rsid w:val="001369E1"/>
    <w:rsid w:val="001564B5"/>
    <w:rsid w:val="002016AE"/>
    <w:rsid w:val="002204FF"/>
    <w:rsid w:val="00232320"/>
    <w:rsid w:val="002538A6"/>
    <w:rsid w:val="002A411F"/>
    <w:rsid w:val="002D5735"/>
    <w:rsid w:val="002F7DF3"/>
    <w:rsid w:val="00302701"/>
    <w:rsid w:val="00360018"/>
    <w:rsid w:val="004503F5"/>
    <w:rsid w:val="004B1E52"/>
    <w:rsid w:val="004B6F22"/>
    <w:rsid w:val="004C38A0"/>
    <w:rsid w:val="00551E1A"/>
    <w:rsid w:val="00576E78"/>
    <w:rsid w:val="00595DA9"/>
    <w:rsid w:val="005A02BD"/>
    <w:rsid w:val="006415FB"/>
    <w:rsid w:val="00651910"/>
    <w:rsid w:val="006542F4"/>
    <w:rsid w:val="0066693C"/>
    <w:rsid w:val="00667EA7"/>
    <w:rsid w:val="006C469B"/>
    <w:rsid w:val="006D57F1"/>
    <w:rsid w:val="00734EF4"/>
    <w:rsid w:val="007725B6"/>
    <w:rsid w:val="007774C7"/>
    <w:rsid w:val="007E6EA5"/>
    <w:rsid w:val="007F2966"/>
    <w:rsid w:val="00841C81"/>
    <w:rsid w:val="008776D7"/>
    <w:rsid w:val="008C550E"/>
    <w:rsid w:val="009036E5"/>
    <w:rsid w:val="009348AE"/>
    <w:rsid w:val="00935147"/>
    <w:rsid w:val="0097353F"/>
    <w:rsid w:val="009A2389"/>
    <w:rsid w:val="009B1982"/>
    <w:rsid w:val="009C7C23"/>
    <w:rsid w:val="009E5809"/>
    <w:rsid w:val="00A01BCB"/>
    <w:rsid w:val="00A51EA0"/>
    <w:rsid w:val="00A62311"/>
    <w:rsid w:val="00A75944"/>
    <w:rsid w:val="00AD24EE"/>
    <w:rsid w:val="00B112E7"/>
    <w:rsid w:val="00B25D9D"/>
    <w:rsid w:val="00B340A8"/>
    <w:rsid w:val="00BB6F9A"/>
    <w:rsid w:val="00BB78F9"/>
    <w:rsid w:val="00C0722F"/>
    <w:rsid w:val="00C101C7"/>
    <w:rsid w:val="00C45609"/>
    <w:rsid w:val="00C4619E"/>
    <w:rsid w:val="00C91AC7"/>
    <w:rsid w:val="00D302E1"/>
    <w:rsid w:val="00D53B66"/>
    <w:rsid w:val="00D72483"/>
    <w:rsid w:val="00D762E9"/>
    <w:rsid w:val="00D7755C"/>
    <w:rsid w:val="00E038E8"/>
    <w:rsid w:val="00E173FE"/>
    <w:rsid w:val="00E31956"/>
    <w:rsid w:val="00E32B8D"/>
    <w:rsid w:val="00E37848"/>
    <w:rsid w:val="00E8053F"/>
    <w:rsid w:val="00E9298C"/>
    <w:rsid w:val="00EB3036"/>
    <w:rsid w:val="00EB59AE"/>
    <w:rsid w:val="00EE27C9"/>
    <w:rsid w:val="00F13973"/>
    <w:rsid w:val="00F172E7"/>
    <w:rsid w:val="00F93BCF"/>
    <w:rsid w:val="00F95299"/>
    <w:rsid w:val="00FA1F3E"/>
    <w:rsid w:val="00FD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E68D0"/>
  <w15:chartTrackingRefBased/>
  <w15:docId w15:val="{20F84705-D329-4EF0-96FC-3A295203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BCB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B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B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B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B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B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B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B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B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B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1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1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BC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1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BC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1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BC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01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BC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BCB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01BCB"/>
  </w:style>
  <w:style w:type="paragraph" w:styleId="Footer">
    <w:name w:val="footer"/>
    <w:basedOn w:val="Normal"/>
    <w:link w:val="FooterChar"/>
    <w:uiPriority w:val="99"/>
    <w:unhideWhenUsed/>
    <w:rsid w:val="00A01BCB"/>
    <w:pPr>
      <w:tabs>
        <w:tab w:val="center" w:pos="4680"/>
        <w:tab w:val="right" w:pos="936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01BCB"/>
  </w:style>
  <w:style w:type="table" w:styleId="GridTable4-Accent1">
    <w:name w:val="Grid Table 4 Accent 1"/>
    <w:basedOn w:val="TableNormal"/>
    <w:uiPriority w:val="49"/>
    <w:rsid w:val="00A01BCB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Light">
    <w:name w:val="Grid Table Light"/>
    <w:basedOn w:val="TableNormal"/>
    <w:uiPriority w:val="40"/>
    <w:rsid w:val="00A01BCB"/>
    <w:pPr>
      <w:spacing w:after="0" w:line="240" w:lineRule="auto"/>
    </w:pPr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1">
    <w:name w:val="List Table 3 Accent 1"/>
    <w:basedOn w:val="TableNormal"/>
    <w:uiPriority w:val="48"/>
    <w:rsid w:val="00A01BCB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character" w:styleId="BookTitle">
    <w:name w:val="Book Title"/>
    <w:basedOn w:val="DefaultParagraphFont"/>
    <w:uiPriority w:val="33"/>
    <w:qFormat/>
    <w:rsid w:val="00A01BC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1BC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01BCB"/>
    <w:rPr>
      <w:i/>
      <w:iCs/>
    </w:rPr>
  </w:style>
  <w:style w:type="paragraph" w:styleId="NoSpacing">
    <w:name w:val="No Spacing"/>
    <w:uiPriority w:val="1"/>
    <w:qFormat/>
    <w:rsid w:val="00A01BCB"/>
    <w:pPr>
      <w:spacing w:after="0" w:line="240" w:lineRule="auto"/>
    </w:pPr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A01BC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01B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01BC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1BCB"/>
    <w:pPr>
      <w:spacing w:before="240" w:after="0" w:line="259" w:lineRule="auto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595DA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23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4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ogically.co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in/callensapien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in/eric-russo-380237a9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linkedin.com/in/christopher-morton-b10b4313/" TargetMode="Externa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JEEPAK4S4PY7-2064327088-18381</_dlc_DocId>
    <_dlc_DocIdUrl xmlns="6c1b7030-56c1-442d-b1bf-b37da5377a28">
      <Url>https://winxnet.sharepoint.com/sites/NewArchive/departments/salesandmarketing/marketing/_layouts/15/DocIdRedir.aspx?ID=JEEPAK4S4PY7-2064327088-18381</Url>
      <Description>JEEPAK4S4PY7-2064327088-18381</Description>
    </_dlc_DocIdUrl>
  </documentManagement>
</p:properties>
</file>

<file path=customXml/itemProps1.xml><?xml version="1.0" encoding="utf-8"?>
<ds:datastoreItem xmlns:ds="http://schemas.openxmlformats.org/officeDocument/2006/customXml" ds:itemID="{82869BBB-1573-4C4C-8DFA-6FE09D517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E9145A-157E-4644-A9BA-07D4AEF2FA2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4052D23-DDB4-4011-8EBF-3E8326339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7823F0-1D5C-45BB-AC43-AB9E98AB2C9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22</cp:revision>
  <dcterms:created xsi:type="dcterms:W3CDTF">2026-10-20T20:23:00Z</dcterms:created>
  <dcterms:modified xsi:type="dcterms:W3CDTF">2026-10-22T20:54:00Z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1c3ffb91-1b69-4974-8b6d-aecf3ac16140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