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FDC0" w14:textId="77777777" w:rsidR="004744FF" w:rsidRPr="004744FF" w:rsidRDefault="004744FF" w:rsidP="004744FF">
      <w:pPr>
        <w:pStyle w:val="Heading1"/>
        <w:rPr>
          <w:rFonts w:ascii="Century Gothic" w:hAnsi="Century Gothic"/>
          <w:color w:val="852057"/>
        </w:rPr>
      </w:pPr>
      <w:bookmarkStart w:id="0" w:name="_Toc241417099"/>
      <w:r w:rsidRPr="004744FF">
        <w:rPr>
          <w:rFonts w:ascii="Century Gothic" w:hAnsi="Century Gothic"/>
          <w:color w:val="852057"/>
        </w:rPr>
        <w:t>AI Spend Visibility Audit</w:t>
      </w:r>
      <w:bookmarkEnd w:id="0"/>
    </w:p>
    <w:p w14:paraId="557259AF" w14:textId="77777777" w:rsidR="004744FF" w:rsidRPr="004744FF" w:rsidRDefault="004744FF" w:rsidP="004744FF">
      <w:pPr>
        <w:rPr>
          <w:rFonts w:ascii="Century Gothic" w:hAnsi="Century Gothic"/>
        </w:rPr>
      </w:pPr>
      <w:r w:rsidRPr="004744FF">
        <w:rPr>
          <w:rFonts w:ascii="Century Gothic" w:hAnsi="Century Gothic"/>
        </w:rPr>
        <w:t>You can't budget what you can't see. Most organizations discover tools and spend they didn't know about the first time they run this audit. Complete it within 30 days of the session.</w:t>
      </w:r>
    </w:p>
    <w:p w14:paraId="1EE76B7D"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1 – INVENTORY EVERY AI TOOL IN USE</w:t>
      </w:r>
    </w:p>
    <w:p w14:paraId="2F136DE2" w14:textId="77777777" w:rsidR="004744FF" w:rsidRPr="004744FF" w:rsidRDefault="004744FF" w:rsidP="004744FF">
      <w:pPr>
        <w:rPr>
          <w:rFonts w:ascii="Century Gothic" w:hAnsi="Century Gothic"/>
        </w:rPr>
      </w:pPr>
      <w:r w:rsidRPr="004744FF">
        <w:rPr>
          <w:rFonts w:ascii="Century Gothic" w:hAnsi="Century Gothic"/>
        </w:rPr>
        <w:t>List every AI tool, subscription, and API your organization pays for or uses — including personal subscriptions and unsanctioned “shadow AI.” Ask each department head; check expense reports and card statements.</w:t>
      </w:r>
    </w:p>
    <w:tbl>
      <w:tblPr>
        <w:tblW w:w="1065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10" w:type="dxa"/>
          <w:right w:w="10" w:type="dxa"/>
        </w:tblCellMar>
        <w:tblLook w:val="04A0" w:firstRow="1" w:lastRow="0" w:firstColumn="1" w:lastColumn="0" w:noHBand="0" w:noVBand="1"/>
      </w:tblPr>
      <w:tblGrid>
        <w:gridCol w:w="3900"/>
        <w:gridCol w:w="2750"/>
        <w:gridCol w:w="2150"/>
        <w:gridCol w:w="1856"/>
      </w:tblGrid>
      <w:tr w:rsidR="004744FF" w:rsidRPr="004744FF" w14:paraId="75495D34" w14:textId="77777777" w:rsidTr="00F3602D">
        <w:trPr>
          <w:trHeight w:val="380"/>
        </w:trPr>
        <w:tc>
          <w:tcPr>
            <w:tcW w:w="3900" w:type="dxa"/>
            <w:shd w:val="clear" w:color="auto" w:fill="842056"/>
            <w:tcMar>
              <w:top w:w="60" w:type="dxa"/>
              <w:left w:w="80" w:type="dxa"/>
              <w:bottom w:w="60" w:type="dxa"/>
              <w:right w:w="80" w:type="dxa"/>
            </w:tcMar>
          </w:tcPr>
          <w:p w14:paraId="176B37EB" w14:textId="77777777" w:rsidR="004744FF" w:rsidRPr="004744FF" w:rsidRDefault="004744FF" w:rsidP="00F3602D">
            <w:pPr>
              <w:rPr>
                <w:rFonts w:ascii="Century Gothic" w:hAnsi="Century Gothic"/>
                <w:b/>
                <w:bCs/>
                <w:color w:val="FFFFFF" w:themeColor="background1"/>
                <w:sz w:val="18"/>
                <w:szCs w:val="18"/>
              </w:rPr>
            </w:pPr>
            <w:r w:rsidRPr="004744FF">
              <w:rPr>
                <w:rFonts w:ascii="Century Gothic" w:hAnsi="Century Gothic"/>
                <w:b/>
                <w:bCs/>
                <w:color w:val="FFFFFF" w:themeColor="background1"/>
              </w:rPr>
              <w:t>AI tool / subscription / API</w:t>
            </w:r>
          </w:p>
        </w:tc>
        <w:tc>
          <w:tcPr>
            <w:tcW w:w="2750" w:type="dxa"/>
            <w:shd w:val="clear" w:color="auto" w:fill="842056"/>
            <w:tcMar>
              <w:top w:w="60" w:type="dxa"/>
              <w:left w:w="80" w:type="dxa"/>
              <w:bottom w:w="60" w:type="dxa"/>
              <w:right w:w="80" w:type="dxa"/>
            </w:tcMar>
          </w:tcPr>
          <w:p w14:paraId="074CEA6C" w14:textId="77777777" w:rsidR="004744FF" w:rsidRPr="004744FF" w:rsidRDefault="004744FF" w:rsidP="00F3602D">
            <w:pPr>
              <w:rPr>
                <w:rFonts w:ascii="Century Gothic" w:hAnsi="Century Gothic"/>
                <w:b/>
                <w:bCs/>
                <w:color w:val="FFFFFF" w:themeColor="background1"/>
                <w:sz w:val="18"/>
                <w:szCs w:val="18"/>
              </w:rPr>
            </w:pPr>
            <w:r w:rsidRPr="004744FF">
              <w:rPr>
                <w:rFonts w:ascii="Century Gothic" w:hAnsi="Century Gothic"/>
                <w:b/>
                <w:bCs/>
                <w:color w:val="FFFFFF" w:themeColor="background1"/>
              </w:rPr>
              <w:t>Department / owner</w:t>
            </w:r>
          </w:p>
        </w:tc>
        <w:tc>
          <w:tcPr>
            <w:tcW w:w="2150" w:type="dxa"/>
            <w:shd w:val="clear" w:color="auto" w:fill="842056"/>
            <w:tcMar>
              <w:top w:w="60" w:type="dxa"/>
              <w:left w:w="80" w:type="dxa"/>
              <w:bottom w:w="60" w:type="dxa"/>
              <w:right w:w="80" w:type="dxa"/>
            </w:tcMar>
          </w:tcPr>
          <w:p w14:paraId="2CC9DF9E" w14:textId="77777777" w:rsidR="004744FF" w:rsidRPr="004744FF" w:rsidRDefault="004744FF" w:rsidP="00F3602D">
            <w:pPr>
              <w:rPr>
                <w:rFonts w:ascii="Century Gothic" w:hAnsi="Century Gothic"/>
                <w:b/>
                <w:bCs/>
                <w:color w:val="FFFFFF" w:themeColor="background1"/>
                <w:sz w:val="18"/>
                <w:szCs w:val="18"/>
              </w:rPr>
            </w:pPr>
            <w:r w:rsidRPr="004744FF">
              <w:rPr>
                <w:rFonts w:ascii="Century Gothic" w:hAnsi="Century Gothic"/>
                <w:b/>
                <w:bCs/>
                <w:color w:val="FFFFFF" w:themeColor="background1"/>
              </w:rPr>
              <w:t>Pricing model</w:t>
            </w:r>
          </w:p>
        </w:tc>
        <w:tc>
          <w:tcPr>
            <w:tcW w:w="1856" w:type="dxa"/>
            <w:shd w:val="clear" w:color="auto" w:fill="842056"/>
            <w:tcMar>
              <w:top w:w="60" w:type="dxa"/>
              <w:left w:w="80" w:type="dxa"/>
              <w:bottom w:w="60" w:type="dxa"/>
              <w:right w:w="80" w:type="dxa"/>
            </w:tcMar>
          </w:tcPr>
          <w:p w14:paraId="57947495" w14:textId="77777777" w:rsidR="004744FF" w:rsidRPr="004744FF" w:rsidRDefault="004744FF" w:rsidP="00F3602D">
            <w:pPr>
              <w:rPr>
                <w:rFonts w:ascii="Century Gothic" w:hAnsi="Century Gothic"/>
                <w:b/>
                <w:bCs/>
                <w:color w:val="FFFFFF" w:themeColor="background1"/>
                <w:sz w:val="18"/>
                <w:szCs w:val="18"/>
              </w:rPr>
            </w:pPr>
            <w:r w:rsidRPr="004744FF">
              <w:rPr>
                <w:rFonts w:ascii="Century Gothic" w:hAnsi="Century Gothic"/>
                <w:b/>
                <w:bCs/>
                <w:color w:val="FFFFFF" w:themeColor="background1"/>
              </w:rPr>
              <w:t>Est. monthly cost</w:t>
            </w:r>
          </w:p>
        </w:tc>
      </w:tr>
      <w:tr w:rsidR="004744FF" w:rsidRPr="004744FF" w14:paraId="64EA2B90" w14:textId="77777777" w:rsidTr="00F3602D">
        <w:trPr>
          <w:trHeight w:val="420"/>
        </w:trPr>
        <w:tc>
          <w:tcPr>
            <w:tcW w:w="3900" w:type="dxa"/>
            <w:tcMar>
              <w:top w:w="60" w:type="dxa"/>
              <w:left w:w="80" w:type="dxa"/>
              <w:bottom w:w="60" w:type="dxa"/>
              <w:right w:w="80" w:type="dxa"/>
            </w:tcMar>
          </w:tcPr>
          <w:p w14:paraId="1A89955F"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2B340C32"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06C493DD"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3E693384"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7BDA7879" w14:textId="77777777" w:rsidTr="00F3602D">
        <w:trPr>
          <w:trHeight w:val="420"/>
        </w:trPr>
        <w:tc>
          <w:tcPr>
            <w:tcW w:w="3900" w:type="dxa"/>
            <w:tcMar>
              <w:top w:w="60" w:type="dxa"/>
              <w:left w:w="80" w:type="dxa"/>
              <w:bottom w:w="60" w:type="dxa"/>
              <w:right w:w="80" w:type="dxa"/>
            </w:tcMar>
          </w:tcPr>
          <w:p w14:paraId="069620A3"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486EC137"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5BF73711"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36086A15"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0BF334BC" w14:textId="77777777" w:rsidTr="00F3602D">
        <w:trPr>
          <w:trHeight w:val="420"/>
        </w:trPr>
        <w:tc>
          <w:tcPr>
            <w:tcW w:w="3900" w:type="dxa"/>
            <w:tcMar>
              <w:top w:w="60" w:type="dxa"/>
              <w:left w:w="80" w:type="dxa"/>
              <w:bottom w:w="60" w:type="dxa"/>
              <w:right w:w="80" w:type="dxa"/>
            </w:tcMar>
          </w:tcPr>
          <w:p w14:paraId="074CB9CA"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2580295D"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40BFAA5B"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13F7292C"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0A0F5FEB" w14:textId="77777777" w:rsidTr="00F3602D">
        <w:trPr>
          <w:trHeight w:val="420"/>
        </w:trPr>
        <w:tc>
          <w:tcPr>
            <w:tcW w:w="3900" w:type="dxa"/>
            <w:tcMar>
              <w:top w:w="60" w:type="dxa"/>
              <w:left w:w="80" w:type="dxa"/>
              <w:bottom w:w="60" w:type="dxa"/>
              <w:right w:w="80" w:type="dxa"/>
            </w:tcMar>
          </w:tcPr>
          <w:p w14:paraId="0C3AC92C"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46444B4A"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45093976"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0DEE4D12"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74E0FE95" w14:textId="77777777" w:rsidTr="00F3602D">
        <w:trPr>
          <w:trHeight w:val="420"/>
        </w:trPr>
        <w:tc>
          <w:tcPr>
            <w:tcW w:w="3900" w:type="dxa"/>
            <w:tcMar>
              <w:top w:w="60" w:type="dxa"/>
              <w:left w:w="80" w:type="dxa"/>
              <w:bottom w:w="60" w:type="dxa"/>
              <w:right w:w="80" w:type="dxa"/>
            </w:tcMar>
          </w:tcPr>
          <w:p w14:paraId="0ADF6C94"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385511B4"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3294F91D"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18259565"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227CF5A5" w14:textId="77777777" w:rsidTr="00F3602D">
        <w:trPr>
          <w:trHeight w:val="420"/>
        </w:trPr>
        <w:tc>
          <w:tcPr>
            <w:tcW w:w="3900" w:type="dxa"/>
            <w:tcMar>
              <w:top w:w="60" w:type="dxa"/>
              <w:left w:w="80" w:type="dxa"/>
              <w:bottom w:w="60" w:type="dxa"/>
              <w:right w:w="80" w:type="dxa"/>
            </w:tcMar>
          </w:tcPr>
          <w:p w14:paraId="7693917D"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16414FE4"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62A28B75"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10CCF919"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62567ACD" w14:textId="77777777" w:rsidTr="00F3602D">
        <w:trPr>
          <w:trHeight w:val="420"/>
        </w:trPr>
        <w:tc>
          <w:tcPr>
            <w:tcW w:w="3900" w:type="dxa"/>
            <w:tcMar>
              <w:top w:w="60" w:type="dxa"/>
              <w:left w:w="80" w:type="dxa"/>
              <w:bottom w:w="60" w:type="dxa"/>
              <w:right w:w="80" w:type="dxa"/>
            </w:tcMar>
          </w:tcPr>
          <w:p w14:paraId="2EE8924F"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2B41B299"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126D5F84"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08F60CD2"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r w:rsidR="004744FF" w:rsidRPr="004744FF" w14:paraId="11485EA6" w14:textId="77777777" w:rsidTr="00F3602D">
        <w:trPr>
          <w:trHeight w:val="420"/>
        </w:trPr>
        <w:tc>
          <w:tcPr>
            <w:tcW w:w="3900" w:type="dxa"/>
            <w:tcMar>
              <w:top w:w="60" w:type="dxa"/>
              <w:left w:w="80" w:type="dxa"/>
              <w:bottom w:w="60" w:type="dxa"/>
              <w:right w:w="80" w:type="dxa"/>
            </w:tcMar>
          </w:tcPr>
          <w:p w14:paraId="2AB1F240"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750" w:type="dxa"/>
            <w:tcMar>
              <w:top w:w="60" w:type="dxa"/>
              <w:left w:w="80" w:type="dxa"/>
              <w:bottom w:w="60" w:type="dxa"/>
              <w:right w:w="80" w:type="dxa"/>
            </w:tcMar>
          </w:tcPr>
          <w:p w14:paraId="07A74AAF"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2150" w:type="dxa"/>
            <w:tcMar>
              <w:top w:w="60" w:type="dxa"/>
              <w:left w:w="80" w:type="dxa"/>
              <w:bottom w:w="60" w:type="dxa"/>
              <w:right w:w="80" w:type="dxa"/>
            </w:tcMar>
          </w:tcPr>
          <w:p w14:paraId="37E8CF5A"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c>
          <w:tcPr>
            <w:tcW w:w="1856" w:type="dxa"/>
            <w:tcMar>
              <w:top w:w="60" w:type="dxa"/>
              <w:left w:w="80" w:type="dxa"/>
              <w:bottom w:w="60" w:type="dxa"/>
              <w:right w:w="80" w:type="dxa"/>
            </w:tcMar>
          </w:tcPr>
          <w:p w14:paraId="796776E0" w14:textId="77777777" w:rsidR="004744FF" w:rsidRPr="004744FF" w:rsidRDefault="004744FF" w:rsidP="00F3602D">
            <w:pPr>
              <w:spacing w:after="0" w:line="240" w:lineRule="auto"/>
              <w:rPr>
                <w:rFonts w:ascii="Century Gothic" w:eastAsia="Century Gothic" w:hAnsi="Century Gothic" w:cs="Century Gothic"/>
                <w:color w:val="3A3A3A"/>
                <w:kern w:val="0"/>
                <w:sz w:val="18"/>
                <w:szCs w:val="18"/>
                <w14:ligatures w14:val="none"/>
              </w:rPr>
            </w:pPr>
          </w:p>
        </w:tc>
      </w:tr>
    </w:tbl>
    <w:p w14:paraId="2063AFBE"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2 – NAME A SINGLE OWNER</w:t>
      </w:r>
    </w:p>
    <w:p w14:paraId="2B59D0A9" w14:textId="77777777" w:rsidR="004744FF" w:rsidRPr="004744FF" w:rsidRDefault="004744FF" w:rsidP="004744FF">
      <w:pPr>
        <w:rPr>
          <w:rFonts w:ascii="Century Gothic" w:hAnsi="Century Gothic"/>
        </w:rPr>
      </w:pPr>
      <w:r w:rsidRPr="004744FF">
        <w:rPr>
          <w:rFonts w:ascii="Century Gothic" w:hAnsi="Century Gothic"/>
        </w:rPr>
        <w:t>Accountability is the foundation of visibility. Who owns AI spend across the organization?</w:t>
      </w:r>
    </w:p>
    <w:p w14:paraId="2FA6A58F" w14:textId="77777777" w:rsidR="004744FF" w:rsidRPr="004744FF" w:rsidRDefault="004744FF" w:rsidP="004744FF">
      <w:pPr>
        <w:ind w:firstLine="720"/>
        <w:rPr>
          <w:rFonts w:ascii="Century Gothic" w:hAnsi="Century Gothic"/>
        </w:rPr>
      </w:pPr>
      <w:r w:rsidRPr="004744FF">
        <w:rPr>
          <w:rFonts w:ascii="Century Gothic" w:hAnsi="Century Gothic"/>
        </w:rPr>
        <w:t>AI spend owner: ________________________________________</w:t>
      </w:r>
    </w:p>
    <w:p w14:paraId="272A2156"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3 – PULL THREE MONTHS OF ACTUALS</w:t>
      </w:r>
    </w:p>
    <w:p w14:paraId="164DB789" w14:textId="77777777" w:rsidR="004744FF" w:rsidRPr="004744FF" w:rsidRDefault="004744FF" w:rsidP="004744FF">
      <w:pPr>
        <w:rPr>
          <w:rFonts w:ascii="Century Gothic" w:hAnsi="Century Gothic"/>
        </w:rPr>
      </w:pPr>
      <w:r w:rsidRPr="004744FF">
        <w:rPr>
          <w:rFonts w:ascii="Century Gothic" w:hAnsi="Century Gothic"/>
        </w:rPr>
        <w:t>Gather the last three months of actual spend for every line above into one sheet.</w:t>
      </w:r>
    </w:p>
    <w:p w14:paraId="3E86CDB3" w14:textId="77777777" w:rsidR="004744FF" w:rsidRPr="004744FF" w:rsidRDefault="004744FF" w:rsidP="004744FF">
      <w:pPr>
        <w:ind w:left="720"/>
        <w:rPr>
          <w:rFonts w:ascii="Century Gothic" w:hAnsi="Century Gothic"/>
        </w:rPr>
      </w:pPr>
      <w:r w:rsidRPr="004744FF">
        <w:rPr>
          <w:rFonts w:ascii="Century Gothic" w:hAnsi="Century Gothic"/>
        </w:rPr>
        <w:t>Month 1 total: $ __________    Month 2 total: $ _________    Month 3 total: $ __________</w:t>
      </w:r>
    </w:p>
    <w:p w14:paraId="548E1814" w14:textId="77777777" w:rsidR="004744FF" w:rsidRPr="004744FF" w:rsidRDefault="004744FF" w:rsidP="004744FF">
      <w:pPr>
        <w:ind w:left="720"/>
        <w:rPr>
          <w:rFonts w:ascii="Century Gothic" w:hAnsi="Century Gothic"/>
        </w:rPr>
      </w:pPr>
      <w:r w:rsidRPr="004744FF">
        <w:rPr>
          <w:rFonts w:ascii="Century Gothic" w:hAnsi="Century Gothic"/>
        </w:rPr>
        <w:t>Is the trend flat, growing, or accelerating? ______________________________________</w:t>
      </w:r>
    </w:p>
    <w:p w14:paraId="6A3E9F1D" w14:textId="77777777" w:rsidR="004744FF" w:rsidRPr="004744FF" w:rsidRDefault="004744FF" w:rsidP="004744FF">
      <w:pPr>
        <w:spacing w:after="0" w:line="240" w:lineRule="auto"/>
        <w:rPr>
          <w:rFonts w:ascii="Century Gothic" w:eastAsia="Century Gothic" w:hAnsi="Century Gothic" w:cs="Century Gothic"/>
          <w:color w:val="3A3A3A"/>
          <w:kern w:val="0"/>
          <w:sz w:val="18"/>
          <w:szCs w:val="18"/>
          <w14:ligatures w14:val="none"/>
        </w:rPr>
      </w:pPr>
      <w:r w:rsidRPr="004744FF">
        <w:rPr>
          <w:rFonts w:ascii="Century Gothic" w:eastAsia="Century Gothic" w:hAnsi="Century Gothic" w:cs="Century Gothic"/>
          <w:color w:val="3A3A3A"/>
          <w:kern w:val="0"/>
          <w:sz w:val="18"/>
          <w:szCs w:val="18"/>
          <w14:ligatures w14:val="none"/>
        </w:rPr>
        <w:br w:type="page"/>
      </w:r>
    </w:p>
    <w:p w14:paraId="7F6B124B" w14:textId="77777777" w:rsidR="004744FF" w:rsidRPr="004744FF" w:rsidRDefault="004744FF" w:rsidP="004744FF">
      <w:pPr>
        <w:pStyle w:val="Heading2"/>
        <w:rPr>
          <w:rFonts w:ascii="Century Gothic" w:hAnsi="Century Gothic"/>
          <w:color w:val="852057"/>
        </w:rPr>
      </w:pPr>
      <w:bookmarkStart w:id="1" w:name="_Toc241417100"/>
      <w:r w:rsidRPr="004744FF">
        <w:rPr>
          <w:rFonts w:ascii="Century Gothic" w:hAnsi="Century Gothic"/>
          <w:color w:val="852057"/>
        </w:rPr>
        <w:t>Model Your AI Consumption</w:t>
      </w:r>
      <w:bookmarkEnd w:id="1"/>
    </w:p>
    <w:p w14:paraId="49A9C3A0" w14:textId="77777777" w:rsidR="004744FF" w:rsidRPr="004744FF" w:rsidRDefault="004744FF" w:rsidP="004744FF">
      <w:pPr>
        <w:rPr>
          <w:rFonts w:ascii="Century Gothic" w:hAnsi="Century Gothic"/>
        </w:rPr>
      </w:pPr>
      <w:r w:rsidRPr="004744FF">
        <w:rPr>
          <w:rFonts w:ascii="Century Gothic" w:hAnsi="Century Gothic"/>
        </w:rPr>
        <w:t>AI spend behaves like cloud consumption, not software licensing. Model it from its drivers so that when the bill moves, you know which driver moved. Start with your single highest-volume use case.</w:t>
      </w:r>
    </w:p>
    <w:p w14:paraId="10C2BF0C"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1 – IDENTIFY THE USE CASE</w:t>
      </w:r>
    </w:p>
    <w:p w14:paraId="1A27F4BF" w14:textId="77777777" w:rsidR="004744FF" w:rsidRPr="004744FF" w:rsidRDefault="004744FF" w:rsidP="004744FF">
      <w:pPr>
        <w:ind w:firstLine="720"/>
        <w:rPr>
          <w:rFonts w:ascii="Century Gothic" w:hAnsi="Century Gothic"/>
        </w:rPr>
      </w:pPr>
      <w:r w:rsidRPr="004744FF">
        <w:rPr>
          <w:rFonts w:ascii="Century Gothic" w:hAnsi="Century Gothic"/>
        </w:rPr>
        <w:t>AI use case: __________________________________________________________</w:t>
      </w:r>
    </w:p>
    <w:p w14:paraId="09E4FE82"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2 – ESTIMATE THE DRIVERS</w:t>
      </w:r>
    </w:p>
    <w:p w14:paraId="310480C4" w14:textId="77777777" w:rsidR="004744FF" w:rsidRPr="004744FF" w:rsidRDefault="004744FF" w:rsidP="004744FF">
      <w:pPr>
        <w:ind w:left="720"/>
        <w:rPr>
          <w:rFonts w:ascii="Century Gothic" w:hAnsi="Century Gothic"/>
        </w:rPr>
      </w:pPr>
      <w:r w:rsidRPr="004744FF">
        <w:rPr>
          <w:rFonts w:ascii="Century Gothic" w:hAnsi="Century Gothic"/>
        </w:rPr>
        <w:t>People (or agents) using it: ____________</w:t>
      </w:r>
    </w:p>
    <w:p w14:paraId="14CCBA3E" w14:textId="77777777" w:rsidR="004744FF" w:rsidRPr="004744FF" w:rsidRDefault="004744FF" w:rsidP="004744FF">
      <w:pPr>
        <w:ind w:left="720"/>
        <w:rPr>
          <w:rFonts w:ascii="Century Gothic" w:hAnsi="Century Gothic"/>
        </w:rPr>
      </w:pPr>
      <w:r w:rsidRPr="004744FF">
        <w:rPr>
          <w:rFonts w:ascii="Century Gothic" w:hAnsi="Century Gothic"/>
        </w:rPr>
        <w:t>Tasks per user per week: ____________</w:t>
      </w:r>
    </w:p>
    <w:p w14:paraId="0D11AA9A" w14:textId="77777777" w:rsidR="004744FF" w:rsidRPr="004744FF" w:rsidRDefault="004744FF" w:rsidP="004744FF">
      <w:pPr>
        <w:ind w:left="720"/>
        <w:rPr>
          <w:rFonts w:ascii="Century Gothic" w:hAnsi="Century Gothic"/>
        </w:rPr>
      </w:pPr>
      <w:r w:rsidRPr="004744FF">
        <w:rPr>
          <w:rFonts w:ascii="Century Gothic" w:hAnsi="Century Gothic"/>
        </w:rPr>
        <w:t>Fully loaded cost per task (tokens + API + share of infrastructure): $ __________</w:t>
      </w:r>
    </w:p>
    <w:p w14:paraId="79CA93C2" w14:textId="77777777" w:rsidR="004744FF" w:rsidRPr="004744FF" w:rsidRDefault="004744FF" w:rsidP="004744FF">
      <w:pPr>
        <w:ind w:left="720"/>
        <w:rPr>
          <w:rFonts w:ascii="Century Gothic" w:hAnsi="Century Gothic"/>
        </w:rPr>
      </w:pPr>
      <w:r w:rsidRPr="004744FF">
        <w:rPr>
          <w:rFonts w:ascii="Century Gothic" w:hAnsi="Century Gothic"/>
          <w:b/>
          <w:bCs/>
        </w:rPr>
        <w:t>a) Calculate the monthly run rate</w:t>
      </w:r>
    </w:p>
    <w:p w14:paraId="6B93740F" w14:textId="77777777" w:rsidR="004744FF" w:rsidRPr="004744FF" w:rsidRDefault="004744FF" w:rsidP="004744FF">
      <w:pPr>
        <w:ind w:left="720"/>
        <w:rPr>
          <w:rFonts w:ascii="Century Gothic" w:hAnsi="Century Gothic"/>
        </w:rPr>
      </w:pPr>
      <w:r w:rsidRPr="004744FF">
        <w:rPr>
          <w:rFonts w:ascii="Century Gothic" w:hAnsi="Century Gothic"/>
          <w:i/>
          <w:iCs/>
        </w:rPr>
        <w:t>Formula:</w:t>
      </w:r>
      <w:r w:rsidRPr="004744FF">
        <w:rPr>
          <w:rFonts w:ascii="Century Gothic" w:hAnsi="Century Gothic"/>
        </w:rPr>
        <w:t xml:space="preserve"> users × tasks per week × cost per task × 4.33 weeks = $ ________________ Monthly Run Rate</w:t>
      </w:r>
    </w:p>
    <w:p w14:paraId="12D84396"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3 – ADD YOUR FIXED BASE</w:t>
      </w:r>
    </w:p>
    <w:p w14:paraId="0DA586C5" w14:textId="77777777" w:rsidR="004744FF" w:rsidRPr="004744FF" w:rsidRDefault="004744FF" w:rsidP="004744FF">
      <w:pPr>
        <w:ind w:left="720"/>
        <w:rPr>
          <w:rFonts w:ascii="Century Gothic" w:hAnsi="Century Gothic"/>
        </w:rPr>
      </w:pPr>
      <w:r w:rsidRPr="004744FF">
        <w:rPr>
          <w:rFonts w:ascii="Century Gothic" w:hAnsi="Century Gothic"/>
        </w:rPr>
        <w:t>Monthly licensing, seats, subscriptions, and monitoring that don't vary with usage: $ ____________</w:t>
      </w:r>
    </w:p>
    <w:p w14:paraId="222FECAA" w14:textId="77777777" w:rsidR="004744FF" w:rsidRPr="004744FF" w:rsidRDefault="004744FF" w:rsidP="004744FF">
      <w:pPr>
        <w:ind w:left="720"/>
        <w:rPr>
          <w:rFonts w:ascii="Century Gothic" w:hAnsi="Century Gothic"/>
        </w:rPr>
      </w:pPr>
      <w:r w:rsidRPr="004744FF">
        <w:rPr>
          <w:rFonts w:ascii="Century Gothic" w:hAnsi="Century Gothic"/>
          <w:b/>
          <w:bCs/>
        </w:rPr>
        <w:t>b) Calculate baseline monthly spend</w:t>
      </w:r>
    </w:p>
    <w:p w14:paraId="2396F8F8" w14:textId="77777777" w:rsidR="004744FF" w:rsidRPr="004744FF" w:rsidRDefault="004744FF" w:rsidP="004744FF">
      <w:pPr>
        <w:ind w:left="720"/>
        <w:rPr>
          <w:rFonts w:ascii="Century Gothic" w:hAnsi="Century Gothic"/>
        </w:rPr>
      </w:pPr>
      <w:r w:rsidRPr="004744FF">
        <w:rPr>
          <w:rFonts w:ascii="Century Gothic" w:hAnsi="Century Gothic"/>
          <w:i/>
          <w:iCs/>
        </w:rPr>
        <w:t>Formula:</w:t>
      </w:r>
      <w:r w:rsidRPr="004744FF">
        <w:rPr>
          <w:rFonts w:ascii="Century Gothic" w:hAnsi="Century Gothic"/>
        </w:rPr>
        <w:t xml:space="preserve"> run rate(s) + fixed base = $ ________________ Baseline Monthly Spend</w:t>
      </w:r>
    </w:p>
    <w:p w14:paraId="71DA194F"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4 – SET BUDGET BANDS, NOT A SINGLE NUMBER</w:t>
      </w:r>
    </w:p>
    <w:p w14:paraId="5709D605" w14:textId="77777777" w:rsidR="004744FF" w:rsidRPr="004744FF" w:rsidRDefault="004744FF" w:rsidP="004744FF">
      <w:pPr>
        <w:ind w:left="720"/>
        <w:rPr>
          <w:rFonts w:ascii="Century Gothic" w:hAnsi="Century Gothic"/>
        </w:rPr>
      </w:pPr>
      <w:r w:rsidRPr="004744FF">
        <w:rPr>
          <w:rFonts w:ascii="Century Gothic" w:hAnsi="Century Gothic"/>
          <w:i/>
          <w:iCs/>
        </w:rPr>
        <w:t>Contained band:</w:t>
      </w:r>
      <w:r w:rsidRPr="004744FF">
        <w:rPr>
          <w:rFonts w:ascii="Century Gothic" w:hAnsi="Century Gothic"/>
        </w:rPr>
        <w:t xml:space="preserve"> baseline × 0.8 = $ ______________</w:t>
      </w:r>
    </w:p>
    <w:p w14:paraId="2F64746E" w14:textId="77777777" w:rsidR="004744FF" w:rsidRPr="004744FF" w:rsidRDefault="004744FF" w:rsidP="004744FF">
      <w:pPr>
        <w:ind w:left="720"/>
        <w:rPr>
          <w:rFonts w:ascii="Century Gothic" w:hAnsi="Century Gothic"/>
        </w:rPr>
      </w:pPr>
      <w:r w:rsidRPr="004744FF">
        <w:rPr>
          <w:rFonts w:ascii="Century Gothic" w:hAnsi="Century Gothic"/>
          <w:i/>
          <w:iCs/>
        </w:rPr>
        <w:t>Accelerated band:</w:t>
      </w:r>
      <w:r w:rsidRPr="004744FF">
        <w:rPr>
          <w:rFonts w:ascii="Century Gothic" w:hAnsi="Century Gothic"/>
        </w:rPr>
        <w:t xml:space="preserve"> baseline × 1.5 = $ ______________</w:t>
      </w:r>
    </w:p>
    <w:p w14:paraId="3BD3680B" w14:textId="77777777" w:rsidR="004744FF" w:rsidRPr="004744FF" w:rsidRDefault="004744FF" w:rsidP="004744FF">
      <w:pPr>
        <w:spacing w:before="180" w:after="60" w:line="240" w:lineRule="auto"/>
        <w:rPr>
          <w:rStyle w:val="IntenseReference"/>
          <w:rFonts w:ascii="Century Gothic" w:hAnsi="Century Gothic"/>
          <w:color w:val="852057"/>
        </w:rPr>
      </w:pPr>
      <w:r w:rsidRPr="004744FF">
        <w:rPr>
          <w:rStyle w:val="IntenseReference"/>
          <w:rFonts w:ascii="Century Gothic" w:hAnsi="Century Gothic"/>
          <w:color w:val="852057"/>
        </w:rPr>
        <w:t>STEP 5 – PROJECT FOR ADOPTION GROWTH</w:t>
      </w:r>
    </w:p>
    <w:p w14:paraId="384B3DCC" w14:textId="77777777" w:rsidR="004744FF" w:rsidRPr="004744FF" w:rsidRDefault="004744FF" w:rsidP="004744FF">
      <w:pPr>
        <w:ind w:left="720"/>
        <w:rPr>
          <w:rFonts w:ascii="Century Gothic" w:hAnsi="Century Gothic"/>
        </w:rPr>
      </w:pPr>
      <w:r w:rsidRPr="004744FF">
        <w:rPr>
          <w:rFonts w:ascii="Century Gothic" w:hAnsi="Century Gothic"/>
        </w:rPr>
        <w:t>Expected monthly adoption growth (mid-market organizations commonly see 5–10%): ______ %</w:t>
      </w:r>
    </w:p>
    <w:p w14:paraId="398E7FBF" w14:textId="77777777" w:rsidR="004744FF" w:rsidRPr="004744FF" w:rsidRDefault="004744FF" w:rsidP="004744FF">
      <w:pPr>
        <w:ind w:left="720"/>
        <w:rPr>
          <w:rFonts w:ascii="Century Gothic" w:hAnsi="Century Gothic"/>
        </w:rPr>
      </w:pPr>
      <w:r w:rsidRPr="004744FF">
        <w:rPr>
          <w:rFonts w:ascii="Century Gothic" w:hAnsi="Century Gothic"/>
          <w:i/>
          <w:iCs/>
        </w:rPr>
        <w:t>Month-12 expected spend:</w:t>
      </w:r>
      <w:r w:rsidRPr="004744FF">
        <w:rPr>
          <w:rFonts w:ascii="Century Gothic" w:hAnsi="Century Gothic"/>
        </w:rPr>
        <w:t xml:space="preserve"> baseline × (1 + growth) applied 11 times = $ ________________</w:t>
      </w:r>
    </w:p>
    <w:p w14:paraId="2AC7848D" w14:textId="77777777" w:rsidR="004744FF" w:rsidRPr="004744FF" w:rsidRDefault="004744FF" w:rsidP="004744FF">
      <w:pPr>
        <w:rPr>
          <w:rFonts w:ascii="Century Gothic" w:hAnsi="Century Gothic"/>
        </w:rPr>
      </w:pPr>
      <w:r w:rsidRPr="004744FF">
        <w:rPr>
          <w:rFonts w:ascii="Century Gothic" w:hAnsi="Century Gothic"/>
          <w:b/>
          <w:bCs/>
        </w:rPr>
        <w:t>NOTE:</w:t>
      </w:r>
      <w:r w:rsidRPr="004744FF">
        <w:rPr>
          <w:rFonts w:ascii="Century Gothic" w:hAnsi="Century Gothic"/>
        </w:rPr>
        <w:t xml:space="preserve"> Reforecast quarterly. Set spend alerts before the surprise invoice, a threshold that triggers a conversation, not a crisis.</w:t>
      </w:r>
    </w:p>
    <w:p w14:paraId="4334D79C" w14:textId="77777777" w:rsidR="004744FF" w:rsidRPr="004744FF" w:rsidRDefault="004744FF" w:rsidP="004744FF">
      <w:pPr>
        <w:spacing w:after="0" w:line="240" w:lineRule="auto"/>
        <w:rPr>
          <w:rFonts w:ascii="Century Gothic" w:eastAsia="Century Gothic" w:hAnsi="Century Gothic" w:cs="Century Gothic"/>
          <w:color w:val="3A3A3A"/>
          <w:kern w:val="0"/>
          <w:sz w:val="18"/>
          <w:szCs w:val="18"/>
          <w14:ligatures w14:val="none"/>
        </w:rPr>
      </w:pPr>
      <w:r w:rsidRPr="004744FF">
        <w:rPr>
          <w:rFonts w:ascii="Century Gothic" w:eastAsia="Century Gothic" w:hAnsi="Century Gothic" w:cs="Century Gothic"/>
          <w:color w:val="3A3A3A"/>
          <w:kern w:val="0"/>
          <w:sz w:val="18"/>
          <w:szCs w:val="18"/>
          <w14:ligatures w14:val="none"/>
        </w:rPr>
        <w:br w:type="page"/>
      </w:r>
    </w:p>
    <w:p w14:paraId="53CC0EFE" w14:textId="77777777" w:rsidR="004744FF" w:rsidRDefault="004744FF" w:rsidP="004744FF">
      <w:pPr>
        <w:rPr>
          <w:rFonts w:ascii="Century Gothic" w:hAnsi="Century Gothic"/>
          <w:b/>
          <w:bCs/>
          <w:color w:val="852057"/>
        </w:rPr>
      </w:pPr>
    </w:p>
    <w:p w14:paraId="6ED92A34" w14:textId="77777777" w:rsidR="004744FF" w:rsidRDefault="004744FF" w:rsidP="004744FF">
      <w:pPr>
        <w:rPr>
          <w:rFonts w:ascii="Century Gothic" w:hAnsi="Century Gothic"/>
          <w:b/>
          <w:bCs/>
          <w:color w:val="852057"/>
        </w:rPr>
      </w:pPr>
    </w:p>
    <w:p w14:paraId="3A32E43E" w14:textId="77777777" w:rsidR="004744FF" w:rsidRDefault="004744FF" w:rsidP="004744FF">
      <w:pPr>
        <w:rPr>
          <w:rFonts w:ascii="Century Gothic" w:hAnsi="Century Gothic"/>
          <w:b/>
          <w:bCs/>
          <w:color w:val="852057"/>
        </w:rPr>
      </w:pPr>
    </w:p>
    <w:p w14:paraId="1AB5C5BF" w14:textId="77777777" w:rsidR="004744FF" w:rsidRDefault="004744FF" w:rsidP="004744FF">
      <w:pPr>
        <w:rPr>
          <w:rFonts w:ascii="Century Gothic" w:hAnsi="Century Gothic"/>
          <w:b/>
          <w:bCs/>
          <w:color w:val="852057"/>
        </w:rPr>
      </w:pPr>
    </w:p>
    <w:p w14:paraId="42A1FA27" w14:textId="77777777" w:rsidR="004744FF" w:rsidRDefault="004744FF" w:rsidP="004744FF">
      <w:pPr>
        <w:rPr>
          <w:rFonts w:ascii="Century Gothic" w:hAnsi="Century Gothic"/>
          <w:b/>
          <w:bCs/>
          <w:color w:val="852057"/>
        </w:rPr>
      </w:pPr>
    </w:p>
    <w:p w14:paraId="260B5AFE" w14:textId="77777777" w:rsidR="004744FF" w:rsidRDefault="004744FF" w:rsidP="004744FF">
      <w:pPr>
        <w:rPr>
          <w:rFonts w:ascii="Century Gothic" w:hAnsi="Century Gothic"/>
          <w:b/>
          <w:bCs/>
          <w:color w:val="852057"/>
        </w:rPr>
      </w:pPr>
    </w:p>
    <w:p w14:paraId="6F0A1456" w14:textId="77777777" w:rsidR="004744FF" w:rsidRDefault="004744FF" w:rsidP="004744FF">
      <w:pPr>
        <w:rPr>
          <w:rFonts w:ascii="Century Gothic" w:hAnsi="Century Gothic"/>
          <w:b/>
          <w:bCs/>
          <w:color w:val="852057"/>
        </w:rPr>
      </w:pPr>
    </w:p>
    <w:p w14:paraId="56FEF0EC" w14:textId="77777777" w:rsidR="004744FF" w:rsidRDefault="004744FF" w:rsidP="004744FF">
      <w:pPr>
        <w:rPr>
          <w:rFonts w:ascii="Century Gothic" w:hAnsi="Century Gothic"/>
          <w:b/>
          <w:bCs/>
          <w:color w:val="852057"/>
        </w:rPr>
      </w:pPr>
    </w:p>
    <w:p w14:paraId="394DC286" w14:textId="77777777" w:rsidR="004744FF" w:rsidRDefault="004744FF" w:rsidP="004744FF">
      <w:pPr>
        <w:rPr>
          <w:rFonts w:ascii="Century Gothic" w:hAnsi="Century Gothic"/>
          <w:b/>
          <w:bCs/>
          <w:color w:val="852057"/>
        </w:rPr>
      </w:pPr>
    </w:p>
    <w:p w14:paraId="7BF7DBE7" w14:textId="77777777" w:rsidR="004744FF" w:rsidRDefault="004744FF" w:rsidP="004744FF">
      <w:pPr>
        <w:rPr>
          <w:rFonts w:ascii="Century Gothic" w:hAnsi="Century Gothic"/>
          <w:b/>
          <w:bCs/>
          <w:color w:val="852057"/>
        </w:rPr>
      </w:pPr>
    </w:p>
    <w:p w14:paraId="4169EF0C" w14:textId="77777777" w:rsidR="004744FF" w:rsidRDefault="004744FF" w:rsidP="004744FF">
      <w:pPr>
        <w:rPr>
          <w:rFonts w:ascii="Century Gothic" w:hAnsi="Century Gothic"/>
          <w:b/>
          <w:bCs/>
          <w:color w:val="852057"/>
        </w:rPr>
      </w:pPr>
    </w:p>
    <w:p w14:paraId="7E656E4D" w14:textId="77777777" w:rsidR="004744FF" w:rsidRDefault="004744FF" w:rsidP="004744FF">
      <w:pPr>
        <w:rPr>
          <w:rFonts w:ascii="Century Gothic" w:hAnsi="Century Gothic"/>
          <w:b/>
          <w:bCs/>
          <w:color w:val="852057"/>
        </w:rPr>
      </w:pPr>
    </w:p>
    <w:p w14:paraId="46D4ECCE" w14:textId="77777777" w:rsidR="004744FF" w:rsidRDefault="004744FF" w:rsidP="004744FF">
      <w:pPr>
        <w:rPr>
          <w:rFonts w:ascii="Century Gothic" w:hAnsi="Century Gothic"/>
          <w:b/>
          <w:bCs/>
          <w:color w:val="852057"/>
        </w:rPr>
      </w:pPr>
    </w:p>
    <w:p w14:paraId="5ADBC15B" w14:textId="77777777" w:rsidR="004744FF" w:rsidRDefault="004744FF" w:rsidP="004744FF">
      <w:pPr>
        <w:rPr>
          <w:rFonts w:ascii="Century Gothic" w:hAnsi="Century Gothic"/>
          <w:b/>
          <w:bCs/>
          <w:color w:val="852057"/>
        </w:rPr>
      </w:pPr>
    </w:p>
    <w:p w14:paraId="75605CAC" w14:textId="77777777" w:rsidR="004744FF" w:rsidRDefault="004744FF" w:rsidP="004744FF">
      <w:pPr>
        <w:rPr>
          <w:rFonts w:ascii="Century Gothic" w:hAnsi="Century Gothic"/>
          <w:b/>
          <w:bCs/>
          <w:color w:val="852057"/>
        </w:rPr>
      </w:pPr>
    </w:p>
    <w:p w14:paraId="287AAF9A" w14:textId="77777777" w:rsidR="004744FF" w:rsidRDefault="004744FF" w:rsidP="004744FF">
      <w:pPr>
        <w:rPr>
          <w:rFonts w:ascii="Century Gothic" w:hAnsi="Century Gothic"/>
          <w:b/>
          <w:bCs/>
          <w:color w:val="852057"/>
        </w:rPr>
      </w:pPr>
    </w:p>
    <w:p w14:paraId="3745E3B4" w14:textId="77777777" w:rsidR="004744FF" w:rsidRDefault="004744FF" w:rsidP="004744FF">
      <w:pPr>
        <w:rPr>
          <w:rFonts w:ascii="Century Gothic" w:hAnsi="Century Gothic"/>
          <w:b/>
          <w:bCs/>
          <w:color w:val="852057"/>
        </w:rPr>
      </w:pPr>
    </w:p>
    <w:p w14:paraId="3C10B9B8" w14:textId="77777777" w:rsidR="004744FF" w:rsidRDefault="004744FF" w:rsidP="004744FF">
      <w:pPr>
        <w:rPr>
          <w:rFonts w:ascii="Century Gothic" w:hAnsi="Century Gothic"/>
          <w:b/>
          <w:bCs/>
          <w:color w:val="852057"/>
        </w:rPr>
      </w:pPr>
    </w:p>
    <w:p w14:paraId="024F5FD8" w14:textId="77777777" w:rsidR="004744FF" w:rsidRDefault="004744FF" w:rsidP="004744FF">
      <w:pPr>
        <w:rPr>
          <w:rFonts w:ascii="Century Gothic" w:hAnsi="Century Gothic"/>
          <w:b/>
          <w:bCs/>
          <w:color w:val="852057"/>
        </w:rPr>
      </w:pPr>
    </w:p>
    <w:p w14:paraId="75937933" w14:textId="77777777" w:rsidR="004744FF" w:rsidRDefault="004744FF" w:rsidP="004744FF">
      <w:pPr>
        <w:rPr>
          <w:rFonts w:ascii="Century Gothic" w:hAnsi="Century Gothic"/>
          <w:b/>
          <w:bCs/>
          <w:color w:val="852057"/>
        </w:rPr>
      </w:pPr>
    </w:p>
    <w:p w14:paraId="423E0174" w14:textId="77777777" w:rsidR="004744FF" w:rsidRDefault="004744FF" w:rsidP="004744FF">
      <w:pPr>
        <w:rPr>
          <w:rFonts w:ascii="Century Gothic" w:hAnsi="Century Gothic"/>
          <w:b/>
          <w:bCs/>
          <w:color w:val="852057"/>
        </w:rPr>
      </w:pPr>
    </w:p>
    <w:p w14:paraId="72787780" w14:textId="5FCAA4BE" w:rsidR="004744FF" w:rsidRPr="004744FF" w:rsidRDefault="004744FF" w:rsidP="004744FF">
      <w:pPr>
        <w:rPr>
          <w:rFonts w:ascii="Century Gothic" w:hAnsi="Century Gothic"/>
          <w:b/>
          <w:bCs/>
          <w:color w:val="852057"/>
        </w:rPr>
      </w:pPr>
      <w:r w:rsidRPr="004744FF">
        <w:rPr>
          <w:rFonts w:ascii="Century Gothic" w:hAnsi="Century Gothic"/>
          <w:b/>
          <w:bCs/>
          <w:color w:val="852057"/>
        </w:rPr>
        <w:t>About the Contributing Author</w:t>
      </w:r>
    </w:p>
    <w:p w14:paraId="128D6AAE" w14:textId="2C7F9CF6" w:rsidR="004744FF" w:rsidRPr="004744FF" w:rsidRDefault="004744FF" w:rsidP="004744FF">
      <w:pPr>
        <w:spacing w:after="0"/>
        <w:rPr>
          <w:rFonts w:ascii="Century Gothic" w:hAnsi="Century Gothic"/>
          <w:color w:val="3B4D59"/>
        </w:rPr>
      </w:pPr>
      <w:r w:rsidRPr="004744FF">
        <w:rPr>
          <w:rFonts w:ascii="Century Gothic" w:hAnsi="Century Gothic"/>
        </w:rPr>
        <w:t>Contributed by</w:t>
      </w:r>
      <w:r w:rsidRPr="004744FF">
        <w:rPr>
          <w:rFonts w:ascii="Century Gothic" w:hAnsi="Century Gothic"/>
          <w:b/>
          <w:bCs/>
        </w:rPr>
        <w:t xml:space="preserve"> </w:t>
      </w:r>
      <w:hyperlink r:id="rId10" w:history="1">
        <w:r w:rsidRPr="004744FF">
          <w:rPr>
            <w:rStyle w:val="Hyperlink"/>
            <w:rFonts w:ascii="Century Gothic" w:hAnsi="Century Gothic"/>
          </w:rPr>
          <w:t>Laurie Carey</w:t>
        </w:r>
      </w:hyperlink>
      <w:r w:rsidRPr="004744FF">
        <w:rPr>
          <w:rFonts w:ascii="Century Gothic" w:hAnsi="Century Gothic"/>
        </w:rPr>
        <w:t xml:space="preserve">, Founder &amp; CEO of Nebula Academy for Logically’s cybersecurity summit, LogicON. </w:t>
      </w:r>
    </w:p>
    <w:p w14:paraId="56424E61" w14:textId="77777777" w:rsidR="004744FF" w:rsidRPr="004744FF" w:rsidRDefault="004744FF" w:rsidP="004744FF">
      <w:pPr>
        <w:rPr>
          <w:rFonts w:ascii="Century Gothic" w:hAnsi="Century Gothic"/>
          <w:b/>
          <w:bCs/>
          <w:color w:val="852057"/>
        </w:rPr>
      </w:pPr>
      <w:r w:rsidRPr="004744FF">
        <w:rPr>
          <w:rFonts w:ascii="Century Gothic" w:hAnsi="Century Gothic"/>
          <w:b/>
          <w:bCs/>
          <w:color w:val="3B4D59"/>
        </w:rPr>
        <w:br/>
      </w:r>
      <w:r w:rsidRPr="004744FF">
        <w:rPr>
          <w:rFonts w:ascii="Century Gothic" w:hAnsi="Century Gothic"/>
          <w:b/>
          <w:bCs/>
          <w:color w:val="852057"/>
        </w:rPr>
        <w:t>About Logically</w:t>
      </w:r>
    </w:p>
    <w:p w14:paraId="48C5CFC8" w14:textId="77777777" w:rsidR="004744FF" w:rsidRPr="004744FF" w:rsidRDefault="004744FF" w:rsidP="004744FF">
      <w:pPr>
        <w:rPr>
          <w:rFonts w:ascii="Century Gothic" w:hAnsi="Century Gothic"/>
        </w:rPr>
      </w:pPr>
      <w:r w:rsidRPr="004744FF">
        <w:rPr>
          <w:rFonts w:ascii="Century Gothic" w:hAnsi="Century Gothic"/>
        </w:rPr>
        <w:t>Close the Gap with Logically, the Next-Gen MSP Logically unifies IT operations and cybersecurity into one accountable operating model, providing shared visibility, coordinated response, and clearer control. Modern IT and multi-layered security from one partner, built into an integrated operating model that attackers can’t exploit and traditional MSPs can’t match.</w:t>
      </w:r>
    </w:p>
    <w:p w14:paraId="03807796" w14:textId="4A4BE9C8" w:rsidR="004744FF" w:rsidRPr="004744FF" w:rsidRDefault="004744FF" w:rsidP="004744FF">
      <w:pPr>
        <w:rPr>
          <w:rFonts w:ascii="Century Gothic" w:hAnsi="Century Gothic"/>
        </w:rPr>
      </w:pPr>
      <w:r w:rsidRPr="004744FF">
        <w:rPr>
          <w:rFonts w:ascii="Century Gothic" w:hAnsi="Century Gothic"/>
        </w:rPr>
        <w:t xml:space="preserve">Visit </w:t>
      </w:r>
      <w:hyperlink r:id="rId11" w:history="1">
        <w:r w:rsidRPr="004744FF">
          <w:rPr>
            <w:rStyle w:val="Hyperlink"/>
            <w:rFonts w:ascii="Century Gothic" w:hAnsi="Century Gothic"/>
            <w:color w:val="852057"/>
          </w:rPr>
          <w:t>www.logically.com</w:t>
        </w:r>
      </w:hyperlink>
      <w:r w:rsidRPr="004744FF">
        <w:rPr>
          <w:rFonts w:ascii="Century Gothic" w:hAnsi="Century Gothic"/>
        </w:rPr>
        <w:t xml:space="preserve"> to learn more.</w:t>
      </w:r>
    </w:p>
    <w:sectPr w:rsidR="004744FF" w:rsidRPr="004744FF" w:rsidSect="004744FF">
      <w:headerReference w:type="default" r:id="rId12"/>
      <w:footerReference w:type="even" r:id="rId13"/>
      <w:footerReference w:type="default" r:id="rId14"/>
      <w:footerReference w:type="first" r:id="rId15"/>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3AB98" w14:textId="77777777" w:rsidR="000E544A" w:rsidRDefault="000E544A" w:rsidP="004744FF">
      <w:pPr>
        <w:spacing w:after="0" w:line="240" w:lineRule="auto"/>
      </w:pPr>
      <w:r>
        <w:separator/>
      </w:r>
    </w:p>
  </w:endnote>
  <w:endnote w:type="continuationSeparator" w:id="0">
    <w:p w14:paraId="7654DF9A" w14:textId="77777777" w:rsidR="000E544A" w:rsidRDefault="000E544A" w:rsidP="00474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entury Gothic">
    <w:altName w:val="Calibri"/>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616A" w14:textId="31147EEE" w:rsidR="004744FF" w:rsidRDefault="004744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1365A" w14:textId="6E5C34E6" w:rsidR="004744FF" w:rsidRDefault="004744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054B" w14:textId="6A57D372" w:rsidR="004744FF" w:rsidRDefault="00474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35E8" w14:textId="77777777" w:rsidR="000E544A" w:rsidRDefault="000E544A" w:rsidP="004744FF">
      <w:pPr>
        <w:spacing w:after="0" w:line="240" w:lineRule="auto"/>
      </w:pPr>
      <w:r>
        <w:separator/>
      </w:r>
    </w:p>
  </w:footnote>
  <w:footnote w:type="continuationSeparator" w:id="0">
    <w:p w14:paraId="648FE7D3" w14:textId="77777777" w:rsidR="000E544A" w:rsidRDefault="000E544A" w:rsidP="00474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8BFB" w14:textId="07EA39B8" w:rsidR="004744FF" w:rsidRDefault="004744FF">
    <w:pPr>
      <w:pStyle w:val="Header"/>
    </w:pPr>
    <w:r>
      <w:rPr>
        <w:noProof/>
      </w:rPr>
      <w:drawing>
        <wp:anchor distT="0" distB="0" distL="114300" distR="114300" simplePos="0" relativeHeight="251658241" behindDoc="0" locked="0" layoutInCell="1" allowOverlap="1" wp14:anchorId="3FB50210" wp14:editId="2C691A53">
          <wp:simplePos x="0" y="0"/>
          <wp:positionH relativeFrom="column">
            <wp:posOffset>5450032</wp:posOffset>
          </wp:positionH>
          <wp:positionV relativeFrom="paragraph">
            <wp:posOffset>41910</wp:posOffset>
          </wp:positionV>
          <wp:extent cx="1478821" cy="312742"/>
          <wp:effectExtent l="0" t="0" r="0" b="0"/>
          <wp:wrapThrough wrapText="bothSides">
            <wp:wrapPolygon edited="0">
              <wp:start x="278" y="0"/>
              <wp:lineTo x="278" y="15805"/>
              <wp:lineTo x="1113" y="17122"/>
              <wp:lineTo x="15031" y="19756"/>
              <wp:lineTo x="20876" y="19756"/>
              <wp:lineTo x="20876" y="0"/>
              <wp:lineTo x="278" y="0"/>
            </wp:wrapPolygon>
          </wp:wrapThrough>
          <wp:docPr id="437901550" name="Picture 6" descr="A purple text on a black background&#10;&#10;Description automatically generated">
            <a:extLst xmlns:a="http://schemas.openxmlformats.org/drawingml/2006/main">
              <a:ext uri="{FF2B5EF4-FFF2-40B4-BE49-F238E27FC236}">
                <a16:creationId xmlns:a16="http://schemas.microsoft.com/office/drawing/2014/main" id="{154053C7-C0A0-4FA4-BB26-B0F98616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93669" name="Picture 6" descr="A purpl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78821" cy="312742"/>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13E058E1" wp14:editId="30175D6D">
              <wp:simplePos x="0" y="0"/>
              <wp:positionH relativeFrom="column">
                <wp:posOffset>-452535</wp:posOffset>
              </wp:positionH>
              <wp:positionV relativeFrom="paragraph">
                <wp:posOffset>-461865</wp:posOffset>
              </wp:positionV>
              <wp:extent cx="7772746" cy="374072"/>
              <wp:effectExtent l="0" t="0" r="0" b="6985"/>
              <wp:wrapNone/>
              <wp:docPr id="143049397" name="Rectangle 7">
                <a:extLst xmlns:a="http://schemas.openxmlformats.org/drawingml/2006/main">
                  <a:ext uri="{FF2B5EF4-FFF2-40B4-BE49-F238E27FC236}">
                    <a16:creationId xmlns:a16="http://schemas.microsoft.com/office/drawing/2014/main" id="{445F1955-3DE6-4324-94A7-C4000E58386D}"/>
                  </a:ext>
                </a:extLst>
              </wp:docPr>
              <wp:cNvGraphicFramePr/>
              <a:graphic xmlns:a="http://schemas.openxmlformats.org/drawingml/2006/main">
                <a:graphicData uri="http://schemas.microsoft.com/office/word/2010/wordprocessingShape">
                  <wps:wsp>
                    <wps:cNvSpPr/>
                    <wps:spPr>
                      <a:xfrm>
                        <a:off x="0" y="0"/>
                        <a:ext cx="7772746" cy="374072"/>
                      </a:xfrm>
                      <a:prstGeom prst="rect">
                        <a:avLst/>
                      </a:prstGeom>
                      <a:solidFill>
                        <a:srgbClr val="8520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82B68" id="Rectangle 7" o:spid="_x0000_s1026" style="position:absolute;margin-left:-35.65pt;margin-top:-36.35pt;width:612.05pt;height:29.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" fillcolor="#852057" stroked="f" strokeweight="1.5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4FF"/>
    <w:rsid w:val="00000C59"/>
    <w:rsid w:val="00072202"/>
    <w:rsid w:val="000861AC"/>
    <w:rsid w:val="000E544A"/>
    <w:rsid w:val="00344BC4"/>
    <w:rsid w:val="004744FF"/>
    <w:rsid w:val="004C38A0"/>
    <w:rsid w:val="006A4C1B"/>
    <w:rsid w:val="008E35E2"/>
    <w:rsid w:val="00990E45"/>
    <w:rsid w:val="009A046E"/>
    <w:rsid w:val="009C7C23"/>
    <w:rsid w:val="009D25A1"/>
    <w:rsid w:val="00A5241D"/>
    <w:rsid w:val="00B25D9D"/>
    <w:rsid w:val="00B557EA"/>
    <w:rsid w:val="00C17E1E"/>
    <w:rsid w:val="00DD0ABD"/>
    <w:rsid w:val="00E00D87"/>
    <w:rsid w:val="00E31956"/>
    <w:rsid w:val="00E503DD"/>
    <w:rsid w:val="00F3602D"/>
    <w:rsid w:val="10344EE3"/>
    <w:rsid w:val="46DCCD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838092B"/>
  <w15:chartTrackingRefBased/>
  <w15:docId w15:val="{899C6C75-EFD9-46A6-9E39-BD4026936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4FF"/>
    <w:pPr>
      <w:spacing w:line="259" w:lineRule="auto"/>
    </w:pPr>
    <w:rPr>
      <w:sz w:val="20"/>
      <w:szCs w:val="20"/>
    </w:rPr>
  </w:style>
  <w:style w:type="paragraph" w:styleId="Heading1">
    <w:name w:val="heading 1"/>
    <w:basedOn w:val="Normal"/>
    <w:next w:val="Normal"/>
    <w:link w:val="Heading1Char"/>
    <w:uiPriority w:val="9"/>
    <w:qFormat/>
    <w:rsid w:val="004744F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44F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4F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4F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744F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744F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744F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744F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744F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4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4FF"/>
    <w:rPr>
      <w:rFonts w:eastAsiaTheme="majorEastAsia" w:cstheme="majorBidi"/>
      <w:color w:val="272727" w:themeColor="text1" w:themeTint="D8"/>
    </w:rPr>
  </w:style>
  <w:style w:type="paragraph" w:styleId="Title">
    <w:name w:val="Title"/>
    <w:basedOn w:val="Normal"/>
    <w:next w:val="Normal"/>
    <w:link w:val="TitleChar"/>
    <w:uiPriority w:val="10"/>
    <w:qFormat/>
    <w:rsid w:val="00474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4F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4F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744FF"/>
    <w:rPr>
      <w:i/>
      <w:iCs/>
      <w:color w:val="404040" w:themeColor="text1" w:themeTint="BF"/>
    </w:rPr>
  </w:style>
  <w:style w:type="paragraph" w:styleId="ListParagraph">
    <w:name w:val="List Paragraph"/>
    <w:basedOn w:val="Normal"/>
    <w:uiPriority w:val="34"/>
    <w:qFormat/>
    <w:rsid w:val="004744FF"/>
    <w:pPr>
      <w:spacing w:line="278" w:lineRule="auto"/>
      <w:ind w:left="720"/>
      <w:contextualSpacing/>
    </w:pPr>
    <w:rPr>
      <w:sz w:val="24"/>
      <w:szCs w:val="24"/>
    </w:rPr>
  </w:style>
  <w:style w:type="character" w:styleId="IntenseEmphasis">
    <w:name w:val="Intense Emphasis"/>
    <w:basedOn w:val="DefaultParagraphFont"/>
    <w:uiPriority w:val="21"/>
    <w:qFormat/>
    <w:rsid w:val="004744FF"/>
    <w:rPr>
      <w:i/>
      <w:iCs/>
      <w:color w:val="0F4761" w:themeColor="accent1" w:themeShade="BF"/>
    </w:rPr>
  </w:style>
  <w:style w:type="paragraph" w:styleId="IntenseQuote">
    <w:name w:val="Intense Quote"/>
    <w:basedOn w:val="Normal"/>
    <w:next w:val="Normal"/>
    <w:link w:val="IntenseQuoteChar"/>
    <w:uiPriority w:val="30"/>
    <w:qFormat/>
    <w:rsid w:val="004744F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744FF"/>
    <w:rPr>
      <w:i/>
      <w:iCs/>
      <w:color w:val="0F4761" w:themeColor="accent1" w:themeShade="BF"/>
    </w:rPr>
  </w:style>
  <w:style w:type="character" w:styleId="IntenseReference">
    <w:name w:val="Intense Reference"/>
    <w:basedOn w:val="DefaultParagraphFont"/>
    <w:uiPriority w:val="32"/>
    <w:qFormat/>
    <w:rsid w:val="004744FF"/>
    <w:rPr>
      <w:b/>
      <w:bCs/>
      <w:smallCaps/>
      <w:color w:val="0F4761" w:themeColor="accent1" w:themeShade="BF"/>
      <w:spacing w:val="5"/>
    </w:rPr>
  </w:style>
  <w:style w:type="paragraph" w:styleId="Header">
    <w:name w:val="header"/>
    <w:basedOn w:val="Normal"/>
    <w:link w:val="HeaderChar"/>
    <w:uiPriority w:val="99"/>
    <w:unhideWhenUsed/>
    <w:rsid w:val="00474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4FF"/>
    <w:rPr>
      <w:sz w:val="20"/>
      <w:szCs w:val="20"/>
    </w:rPr>
  </w:style>
  <w:style w:type="paragraph" w:styleId="Footer">
    <w:name w:val="footer"/>
    <w:basedOn w:val="Normal"/>
    <w:link w:val="FooterChar"/>
    <w:uiPriority w:val="99"/>
    <w:unhideWhenUsed/>
    <w:rsid w:val="00474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4FF"/>
    <w:rPr>
      <w:sz w:val="20"/>
      <w:szCs w:val="20"/>
    </w:rPr>
  </w:style>
  <w:style w:type="character" w:styleId="SubtleEmphasis">
    <w:name w:val="Subtle Emphasis"/>
    <w:basedOn w:val="DefaultParagraphFont"/>
    <w:uiPriority w:val="19"/>
    <w:qFormat/>
    <w:rsid w:val="004744FF"/>
    <w:rPr>
      <w:rFonts w:ascii="Century Gothic" w:hAnsi="Century Gothic"/>
      <w:i/>
      <w:iCs/>
      <w:color w:val="404040"/>
      <w:sz w:val="20"/>
    </w:rPr>
  </w:style>
  <w:style w:type="character" w:styleId="Hyperlink">
    <w:name w:val="Hyperlink"/>
    <w:basedOn w:val="DefaultParagraphFont"/>
    <w:uiPriority w:val="99"/>
    <w:unhideWhenUsed/>
    <w:rsid w:val="004744FF"/>
    <w:rPr>
      <w:color w:val="467886" w:themeColor="hyperlink"/>
      <w:u w:val="single"/>
    </w:rPr>
  </w:style>
  <w:style w:type="character" w:styleId="UnresolvedMention">
    <w:name w:val="Unresolved Mention"/>
    <w:basedOn w:val="DefaultParagraphFont"/>
    <w:uiPriority w:val="99"/>
    <w:semiHidden/>
    <w:unhideWhenUsed/>
    <w:rsid w:val="00474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ogically.com"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linkedin.com/in/lauriecarey/"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AAE6C963B51845BEE9D65D6C02075F" ma:contentTypeVersion="41" ma:contentTypeDescription="Create a new document." ma:contentTypeScope="" ma:versionID="a78c600df1949f67a2d6f6c86a6777af">
  <xsd:schema xmlns:xsd="http://www.w3.org/2001/XMLSchema" xmlns:xs="http://www.w3.org/2001/XMLSchema" xmlns:p="http://schemas.microsoft.com/office/2006/metadata/properties" xmlns:ns1="http://schemas.microsoft.com/sharepoint/v3" xmlns:ns2="6c1b7030-56c1-442d-b1bf-b37da5377a28" xmlns:ns3="d71ff751-5df5-4e2d-b4d6-3e06a7935677" targetNamespace="http://schemas.microsoft.com/office/2006/metadata/properties" ma:root="true" ma:fieldsID="1162b9427078ef6aa75fd23453d269a4" ns1:_="" ns2:_="" ns3:_="">
    <xsd:import namespace="http://schemas.microsoft.com/sharepoint/v3"/>
    <xsd:import namespace="6c1b7030-56c1-442d-b1bf-b37da5377a28"/>
    <xsd:import namespace="d71ff751-5df5-4e2d-b4d6-3e06a7935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2:_dlc_DocId" minOccurs="0"/>
                <xsd:element ref="ns2:_dlc_DocIdUrl" minOccurs="0"/>
                <xsd:element ref="ns2:_dlc_DocIdPersistId"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ServiceLocation" minOccurs="0"/>
                <xsd:element ref="ns3:Publish" minOccurs="0"/>
                <xsd:element ref="ns3:n82ffee569ce40c88ebfdd7da1595c46" minOccurs="0"/>
                <xsd:element ref="ns2:TaxCatchAll" minOccurs="0"/>
                <xsd:element ref="ns3:MediaLengthInSeconds" minOccurs="0"/>
                <xsd:element ref="ns3:lcf76f155ced4ddcb4097134ff3c332f"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BillingMetadata" minOccurs="0"/>
                <xsd:element ref="ns3:l5955b7449b44d38aebe3da5cdd8b78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1b7030-56c1-442d-b1bf-b37da5377a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b690f215-6722-43da-bd1e-8ea4acad95bf}" ma:internalName="TaxCatchAll" ma:showField="CatchAllData" ma:web="6c1b7030-56c1-442d-b1bf-b37da5377a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ff751-5df5-4e2d-b4d6-3e06a793567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Publish" ma:index="23" nillable="true" ma:displayName="Publish" ma:default="0" ma:description="Sync to showpad" ma:format="Dropdown" ma:internalName="Publish">
      <xsd:simpleType>
        <xsd:restriction base="dms:Boolean"/>
      </xsd:simpleType>
    </xsd:element>
    <xsd:element name="n82ffee569ce40c88ebfdd7da1595c46" ma:index="25" nillable="true" ma:taxonomy="true" ma:internalName="n82ffee569ce40c88ebfdd7da1595c46" ma:taxonomyFieldName="Showpad_x0020_tags2" ma:displayName="Showpad Tags" ma:readOnly="false" ma:default="" ma:fieldId="{782ffee5-69ce-40c8-8ebf-dd7da1595c46}" ma:taxonomyMulti="true" ma:sspId="3dee6cce-fe9d-451d-a7f1-7ef8239c5365" ma:termSetId="107a1388-a1f0-4480-8f92-c9f1cb53fadc" ma:anchorId="00000000-0000-0000-0000-000000000000" ma:open="true" ma:isKeyword="false">
      <xsd:complexType>
        <xsd:sequence>
          <xsd:element ref="pc:Terms" minOccurs="0" maxOccurs="1"/>
        </xsd:sequence>
      </xsd:complex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3dee6cce-fe9d-451d-a7f1-7ef8239c53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l5955b7449b44d38aebe3da5cdd8b784" ma:index="36" nillable="true" ma:taxonomy="true" ma:internalName="l5955b7449b44d38aebe3da5cdd8b784" ma:taxonomyFieldName="Marketing_x0020_Tags" ma:displayName="Marketing Tags" ma:default="" ma:fieldId="{55955b74-49b4-4d38-aebe-3da5cdd8b784}" ma:sspId="3dee6cce-fe9d-451d-a7f1-7ef8239c5365" ma:termSetId="34dd5ba5-1703-482a-af55-a2d61c6ff32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ublish xmlns="d71ff751-5df5-4e2d-b4d6-3e06a7935677">false</Publish>
    <lcf76f155ced4ddcb4097134ff3c332f xmlns="d71ff751-5df5-4e2d-b4d6-3e06a7935677">
      <Terms xmlns="http://schemas.microsoft.com/office/infopath/2007/PartnerControls"/>
    </lcf76f155ced4ddcb4097134ff3c332f>
    <l5955b7449b44d38aebe3da5cdd8b784 xmlns="d71ff751-5df5-4e2d-b4d6-3e06a7935677">
      <Terms xmlns="http://schemas.microsoft.com/office/infopath/2007/PartnerControls"/>
    </l5955b7449b44d38aebe3da5cdd8b784>
    <_ip_UnifiedCompliancePolicyProperties xmlns="http://schemas.microsoft.com/sharepoint/v3" xsi:nil="true"/>
    <n82ffee569ce40c88ebfdd7da1595c46 xmlns="d71ff751-5df5-4e2d-b4d6-3e06a7935677">
      <Terms xmlns="http://schemas.microsoft.com/office/infopath/2007/PartnerControls"/>
    </n82ffee569ce40c88ebfdd7da1595c46>
    <TaxCatchAll xmlns="6c1b7030-56c1-442d-b1bf-b37da5377a28" xsi:nil="true"/>
    <_dlc_DocId xmlns="6c1b7030-56c1-442d-b1bf-b37da5377a28">JEEPAK4S4PY7-2064327088-18385</_dlc_DocId>
    <_dlc_DocIdUrl xmlns="6c1b7030-56c1-442d-b1bf-b37da5377a28">
      <Url>https://winxnet.sharepoint.com/sites/NewArchive/departments/salesandmarketing/marketing/_layouts/15/DocIdRedir.aspx?ID=JEEPAK4S4PY7-2064327088-18385</Url>
      <Description>JEEPAK4S4PY7-2064327088-18385</Description>
    </_dlc_DocIdUrl>
  </documentManagement>
</p:properties>
</file>

<file path=customXml/itemProps1.xml><?xml version="1.0" encoding="utf-8"?>
<ds:datastoreItem xmlns:ds="http://schemas.openxmlformats.org/officeDocument/2006/customXml" ds:itemID="{5C086D5F-85A8-4104-9F48-8AD2F27EF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1b7030-56c1-442d-b1bf-b37da5377a28"/>
    <ds:schemaRef ds:uri="d71ff751-5df5-4e2d-b4d6-3e06a7935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997F6-AA8F-4DE2-B2FA-695414000A94}">
  <ds:schemaRefs>
    <ds:schemaRef ds:uri="http://schemas.microsoft.com/sharepoint/v3/contenttype/forms"/>
  </ds:schemaRefs>
</ds:datastoreItem>
</file>

<file path=customXml/itemProps3.xml><?xml version="1.0" encoding="utf-8"?>
<ds:datastoreItem xmlns:ds="http://schemas.openxmlformats.org/officeDocument/2006/customXml" ds:itemID="{50C24BA4-20BC-4FAE-BCE5-9ACB05898EB9}">
  <ds:schemaRefs>
    <ds:schemaRef ds:uri="http://schemas.microsoft.com/sharepoint/events"/>
  </ds:schemaRefs>
</ds:datastoreItem>
</file>

<file path=customXml/itemProps4.xml><?xml version="1.0" encoding="utf-8"?>
<ds:datastoreItem xmlns:ds="http://schemas.openxmlformats.org/officeDocument/2006/customXml" ds:itemID="{42A5AF98-69B3-42C3-90CB-5BCA75A924F3}">
  <ds:schemaRefs>
    <ds:schemaRef ds:uri="http://schemas.microsoft.com/office/2006/metadata/properties"/>
    <ds:schemaRef ds:uri="http://schemas.microsoft.com/office/infopath/2007/PartnerControls"/>
    <ds:schemaRef ds:uri="http://schemas.microsoft.com/sharepoint/v3"/>
    <ds:schemaRef ds:uri="d71ff751-5df5-4e2d-b4d6-3e06a7935677"/>
    <ds:schemaRef ds:uri="6c1b7030-56c1-442d-b1bf-b37da5377a28"/>
  </ds:schemaRefs>
</ds:datastoreItem>
</file>

<file path=docMetadata/LabelInfo.xml><?xml version="1.0" encoding="utf-8"?>
<clbl:labelList xmlns:clbl="http://schemas.microsoft.com/office/2020/mipLabelMetadata">
  <clbl:label id="{8582074e-e1ec-452d-b5bd-691366068573}" enabled="1" method="Privileged" siteId="{f2ad197b-b296-4938-bfff-0db3f914bce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Pricci</dc:creator>
  <cp:keywords/>
  <dc:description/>
  <cp:lastModifiedBy>Jen Pricci</cp:lastModifiedBy>
  <cp:revision>2</cp:revision>
  <dcterms:created xsi:type="dcterms:W3CDTF">2026-10-20T20:22:00Z</dcterms:created>
  <dcterms:modified xsi:type="dcterms:W3CDTF">2026-10-22T21:12:00Z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0x010100EDAAE6C963B51845BEE9D65D6C02075F</vt:lpwstr>
  </property>
  <property fmtid="{D5CDD505-2E9C-101B-9397-08002B2CF9AE}" pid="3" name="_dlc_DocIdItemGuid">
    <vt:lpwstr>f876d358-5512-4260-ab29-986bc4d4e710</vt:lpwstr>
  </property>
  <property fmtid="{D5CDD505-2E9C-101B-9397-08002B2CF9AE}" pid="4" name="Marketing Tags">
    <vt:lpwstr/>
  </property>
  <property fmtid="{D5CDD505-2E9C-101B-9397-08002B2CF9AE}" pid="5" name="MediaServiceImageTags">
    <vt:lpwstr/>
  </property>
  <property fmtid="{D5CDD505-2E9C-101B-9397-08002B2CF9AE}" pid="6" name="Showpad tags2">
    <vt:lpwstr/>
  </property>
  <property fmtid="{D5CDD505-2E9C-101B-9397-08002B2CF9AE}" pid="7" name="Marketing_x0020_Tags">
    <vt:lpwstr/>
  </property>
  <property fmtid="{D5CDD505-2E9C-101B-9397-08002B2CF9AE}" pid="8" name="Showpad_x0020_tags2">
    <vt:lpwstr/>
  </property>
  <property fmtid="{D5CDD505-2E9C-101B-9397-08002B2CF9AE}" pid="9" name="docLang">
    <vt:lpwstr>en</vt:lpwstr>
  </property>
</Properties>
</file>